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B024" w14:textId="749C46AF" w:rsidR="005F2003" w:rsidRPr="005F2003" w:rsidRDefault="005F2003" w:rsidP="005F2003">
      <w:pPr>
        <w:pStyle w:val="Heading1"/>
        <w:spacing w:before="0"/>
        <w:rPr>
          <w:sz w:val="44"/>
          <w:szCs w:val="28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676AB" wp14:editId="6C37E4B8">
                <wp:simplePos x="0" y="0"/>
                <wp:positionH relativeFrom="column">
                  <wp:posOffset>2886075</wp:posOffset>
                </wp:positionH>
                <wp:positionV relativeFrom="paragraph">
                  <wp:posOffset>-565150</wp:posOffset>
                </wp:positionV>
                <wp:extent cx="3792772" cy="604299"/>
                <wp:effectExtent l="0" t="0" r="1778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2772" cy="6042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A08371" w14:textId="77777777" w:rsidR="005F2003" w:rsidRPr="00853144" w:rsidRDefault="005F2003" w:rsidP="005F2003">
                            <w:pPr>
                              <w:jc w:val="center"/>
                              <w:rPr>
                                <w:color w:val="FF0000"/>
                                <w:szCs w:val="22"/>
                              </w:rPr>
                            </w:pPr>
                            <w:r w:rsidRPr="00853144">
                              <w:rPr>
                                <w:color w:val="FF0000"/>
                                <w:szCs w:val="22"/>
                              </w:rPr>
                              <w:t xml:space="preserve">The document was current </w:t>
                            </w:r>
                            <w:proofErr w:type="gramStart"/>
                            <w:r w:rsidRPr="00853144">
                              <w:rPr>
                                <w:color w:val="FF0000"/>
                                <w:szCs w:val="22"/>
                              </w:rPr>
                              <w:t>at</w:t>
                            </w:r>
                            <w:proofErr w:type="gramEnd"/>
                            <w:r w:rsidRPr="00853144">
                              <w:rPr>
                                <w:color w:val="FF000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Cs w:val="22"/>
                              </w:rPr>
                              <w:t>March 2023,</w:t>
                            </w:r>
                            <w:r w:rsidRPr="00853144">
                              <w:rPr>
                                <w:color w:val="FF0000"/>
                                <w:szCs w:val="22"/>
                              </w:rPr>
                              <w:t xml:space="preserve"> and explains changes made at that time. For up-to-date information, please search ‘Changes to the</w:t>
                            </w:r>
                            <w:r w:rsidRPr="00853144">
                              <w:rPr>
                                <w:i/>
                                <w:iCs/>
                                <w:color w:val="FF0000"/>
                                <w:szCs w:val="22"/>
                              </w:rPr>
                              <w:t xml:space="preserve"> Youth Justice Act 1992</w:t>
                            </w:r>
                            <w:r w:rsidRPr="00853144">
                              <w:rPr>
                                <w:color w:val="FF0000"/>
                                <w:szCs w:val="22"/>
                              </w:rPr>
                              <w:t>’.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676AB" id="Rectangle 1" o:spid="_x0000_s1026" style="position:absolute;margin-left:227.25pt;margin-top:-44.5pt;width:298.65pt;height:4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" fillcolor="window" strokecolor="window" strokeweight="1pt">
                <v:textbox>
                  <w:txbxContent>
                    <w:p w14:paraId="1EA08371" w14:textId="77777777" w:rsidR="005F2003" w:rsidRPr="00853144" w:rsidRDefault="005F2003" w:rsidP="005F2003">
                      <w:pPr>
                        <w:jc w:val="center"/>
                        <w:rPr>
                          <w:color w:val="FF0000"/>
                          <w:szCs w:val="22"/>
                        </w:rPr>
                      </w:pPr>
                      <w:r w:rsidRPr="00853144">
                        <w:rPr>
                          <w:color w:val="FF0000"/>
                          <w:szCs w:val="22"/>
                        </w:rPr>
                        <w:t xml:space="preserve">The document was current </w:t>
                      </w:r>
                      <w:proofErr w:type="gramStart"/>
                      <w:r w:rsidRPr="00853144">
                        <w:rPr>
                          <w:color w:val="FF0000"/>
                          <w:szCs w:val="22"/>
                        </w:rPr>
                        <w:t>at</w:t>
                      </w:r>
                      <w:proofErr w:type="gramEnd"/>
                      <w:r w:rsidRPr="00853144">
                        <w:rPr>
                          <w:color w:val="FF0000"/>
                          <w:szCs w:val="22"/>
                        </w:rPr>
                        <w:t xml:space="preserve"> </w:t>
                      </w:r>
                      <w:r>
                        <w:rPr>
                          <w:color w:val="FF0000"/>
                          <w:szCs w:val="22"/>
                        </w:rPr>
                        <w:t>March 2023,</w:t>
                      </w:r>
                      <w:r w:rsidRPr="00853144">
                        <w:rPr>
                          <w:color w:val="FF0000"/>
                          <w:szCs w:val="22"/>
                        </w:rPr>
                        <w:t xml:space="preserve"> and explains changes made at that time. For up-to-date information, please search ‘Changes to the</w:t>
                      </w:r>
                      <w:r w:rsidRPr="00853144">
                        <w:rPr>
                          <w:i/>
                          <w:iCs/>
                          <w:color w:val="FF0000"/>
                          <w:szCs w:val="22"/>
                        </w:rPr>
                        <w:t xml:space="preserve"> Youth Justice Act 1992</w:t>
                      </w:r>
                      <w:r w:rsidRPr="00853144">
                        <w:rPr>
                          <w:color w:val="FF0000"/>
                          <w:szCs w:val="22"/>
                        </w:rPr>
                        <w:t>’.</w:t>
                      </w:r>
                    </w:p>
                  </w:txbxContent>
                </v:textbox>
              </v:rect>
            </w:pict>
          </mc:Fallback>
        </mc:AlternateContent>
      </w:r>
      <w:r w:rsidRPr="005F2003">
        <w:rPr>
          <w:sz w:val="44"/>
          <w:szCs w:val="28"/>
        </w:rPr>
        <w:t xml:space="preserve">Changes to conditional release orders </w:t>
      </w:r>
      <w:r>
        <w:rPr>
          <w:sz w:val="44"/>
          <w:szCs w:val="28"/>
        </w:rPr>
        <w:t xml:space="preserve">           </w:t>
      </w:r>
      <w:r w:rsidRPr="005F2003">
        <w:rPr>
          <w:sz w:val="44"/>
          <w:szCs w:val="28"/>
        </w:rPr>
        <w:t>– information for legal stakeholders</w:t>
      </w:r>
    </w:p>
    <w:p w14:paraId="3AA696E4" w14:textId="4DACAE01" w:rsidR="00D136D0" w:rsidRDefault="00D136D0" w:rsidP="005F2003">
      <w:pPr>
        <w:pStyle w:val="Heading2"/>
        <w:spacing w:after="0"/>
        <w:sectPr w:rsidR="00D136D0" w:rsidSect="005F200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701" w:right="1134" w:bottom="1134" w:left="1134" w:header="709" w:footer="1474" w:gutter="0"/>
          <w:cols w:space="709"/>
          <w:docGrid w:linePitch="360"/>
        </w:sectPr>
      </w:pPr>
    </w:p>
    <w:p w14:paraId="702C403B" w14:textId="77777777" w:rsidR="005F2003" w:rsidRDefault="005F2003" w:rsidP="005F2003">
      <w:pPr>
        <w:snapToGrid w:val="0"/>
        <w:outlineLvl w:val="0"/>
        <w:rPr>
          <w:rFonts w:ascii="Arial Bold" w:hAnsi="Arial Bold" w:cs="Arial"/>
          <w:b/>
          <w:bCs/>
          <w:iCs/>
          <w:color w:val="F89A44"/>
          <w:sz w:val="30"/>
          <w:szCs w:val="30"/>
        </w:rPr>
      </w:pPr>
      <w:r w:rsidRPr="007F7BA7">
        <w:rPr>
          <w:rFonts w:ascii="Arial Bold" w:hAnsi="Arial Bold" w:cs="Arial"/>
          <w:b/>
          <w:bCs/>
          <w:iCs/>
          <w:color w:val="F89A44"/>
          <w:sz w:val="30"/>
          <w:szCs w:val="30"/>
        </w:rPr>
        <w:t>Background</w:t>
      </w:r>
    </w:p>
    <w:p w14:paraId="6CA91D1A" w14:textId="77777777" w:rsidR="005F2003" w:rsidRDefault="005F2003" w:rsidP="005F2003">
      <w:pPr>
        <w:snapToGrid w:val="0"/>
        <w:spacing w:after="0"/>
        <w:outlineLvl w:val="0"/>
        <w:rPr>
          <w:rFonts w:cs="Arial"/>
        </w:rPr>
      </w:pPr>
      <w:bookmarkStart w:id="0" w:name="_Hlk129345172"/>
      <w:r w:rsidRPr="007F7BA7">
        <w:rPr>
          <w:rFonts w:cs="Arial"/>
        </w:rPr>
        <w:t xml:space="preserve">The </w:t>
      </w:r>
      <w:r w:rsidRPr="007F7BA7">
        <w:rPr>
          <w:rFonts w:cs="Arial"/>
          <w:i/>
          <w:iCs/>
        </w:rPr>
        <w:t>Strengthening Communit</w:t>
      </w:r>
      <w:r>
        <w:rPr>
          <w:rFonts w:cs="Arial"/>
          <w:i/>
          <w:iCs/>
        </w:rPr>
        <w:t>y</w:t>
      </w:r>
      <w:r w:rsidRPr="007F7BA7">
        <w:rPr>
          <w:rFonts w:cs="Arial"/>
          <w:i/>
          <w:iCs/>
        </w:rPr>
        <w:t xml:space="preserve"> Safety </w:t>
      </w:r>
      <w:r>
        <w:rPr>
          <w:rFonts w:cs="Arial"/>
          <w:i/>
          <w:iCs/>
        </w:rPr>
        <w:t>Act</w:t>
      </w:r>
      <w:r w:rsidRPr="007F7BA7">
        <w:rPr>
          <w:rFonts w:cs="Arial"/>
          <w:i/>
          <w:iCs/>
        </w:rPr>
        <w:t xml:space="preserve"> 2023</w:t>
      </w:r>
      <w:r w:rsidRPr="007F7BA7">
        <w:rPr>
          <w:rFonts w:cs="Arial"/>
        </w:rPr>
        <w:t xml:space="preserve"> </w:t>
      </w:r>
      <w:r>
        <w:rPr>
          <w:rFonts w:cs="Arial"/>
        </w:rPr>
        <w:t xml:space="preserve">(the SCS Act) </w:t>
      </w:r>
      <w:r w:rsidRPr="007F7BA7">
        <w:rPr>
          <w:rFonts w:cs="Arial"/>
        </w:rPr>
        <w:t>was passed by the Queensland Parliamen</w:t>
      </w:r>
      <w:r w:rsidRPr="00045357">
        <w:rPr>
          <w:rFonts w:cs="Arial"/>
        </w:rPr>
        <w:t xml:space="preserve">t on </w:t>
      </w:r>
      <w:r w:rsidRPr="007A71FA">
        <w:rPr>
          <w:rFonts w:cs="Arial"/>
        </w:rPr>
        <w:t>16 March 2023</w:t>
      </w:r>
      <w:r w:rsidRPr="00045357">
        <w:rPr>
          <w:rFonts w:cs="Arial"/>
        </w:rPr>
        <w:t xml:space="preserve"> and commenced on </w:t>
      </w:r>
      <w:r w:rsidRPr="007A71FA">
        <w:rPr>
          <w:rFonts w:cs="Arial"/>
        </w:rPr>
        <w:t>22 March 2023</w:t>
      </w:r>
      <w:r w:rsidRPr="00045357">
        <w:rPr>
          <w:rFonts w:cs="Arial"/>
        </w:rPr>
        <w:t>,</w:t>
      </w:r>
      <w:r w:rsidRPr="007F7BA7">
        <w:rPr>
          <w:rFonts w:cs="Arial"/>
        </w:rPr>
        <w:t xml:space="preserve"> </w:t>
      </w:r>
      <w:r>
        <w:rPr>
          <w:rFonts w:cs="Arial"/>
        </w:rPr>
        <w:t>making</w:t>
      </w:r>
      <w:r w:rsidRPr="007F7BA7">
        <w:rPr>
          <w:rFonts w:cs="Arial"/>
        </w:rPr>
        <w:t xml:space="preserve"> changes to the </w:t>
      </w:r>
      <w:r w:rsidRPr="007F7BA7">
        <w:rPr>
          <w:rFonts w:cs="Arial"/>
          <w:i/>
          <w:iCs/>
        </w:rPr>
        <w:t>Youth Justice Act 1992</w:t>
      </w:r>
      <w:r>
        <w:rPr>
          <w:rFonts w:cs="Arial"/>
        </w:rPr>
        <w:t xml:space="preserve"> (the YJA)</w:t>
      </w:r>
      <w:r w:rsidRPr="007F7BA7">
        <w:rPr>
          <w:rFonts w:cs="Arial"/>
        </w:rPr>
        <w:t xml:space="preserve">, the </w:t>
      </w:r>
      <w:r w:rsidRPr="007F7BA7">
        <w:rPr>
          <w:rFonts w:cs="Arial"/>
          <w:i/>
          <w:iCs/>
        </w:rPr>
        <w:t>Bail Act 1980</w:t>
      </w:r>
      <w:r w:rsidRPr="007F7BA7">
        <w:rPr>
          <w:rFonts w:cs="Arial"/>
        </w:rPr>
        <w:t xml:space="preserve">, the </w:t>
      </w:r>
      <w:r w:rsidRPr="007F7BA7">
        <w:rPr>
          <w:rFonts w:cs="Arial"/>
          <w:i/>
          <w:iCs/>
        </w:rPr>
        <w:t>Police Powers and Responsibilities Act 2000</w:t>
      </w:r>
      <w:r w:rsidRPr="007F7BA7">
        <w:rPr>
          <w:rFonts w:cs="Arial"/>
        </w:rPr>
        <w:t xml:space="preserve"> and the </w:t>
      </w:r>
      <w:r w:rsidRPr="00D938E7">
        <w:rPr>
          <w:rFonts w:cs="Arial"/>
        </w:rPr>
        <w:t>Criminal Code</w:t>
      </w:r>
      <w:r w:rsidRPr="007F7BA7">
        <w:rPr>
          <w:rFonts w:cs="Arial"/>
        </w:rPr>
        <w:t>.</w:t>
      </w:r>
      <w:bookmarkEnd w:id="0"/>
    </w:p>
    <w:p w14:paraId="2ECE7073" w14:textId="77777777" w:rsidR="005F2003" w:rsidRPr="00DA2AF9" w:rsidRDefault="005F2003" w:rsidP="005F2003">
      <w:pPr>
        <w:snapToGrid w:val="0"/>
        <w:spacing w:after="0"/>
        <w:outlineLvl w:val="0"/>
        <w:rPr>
          <w:rFonts w:cs="Arial"/>
        </w:rPr>
      </w:pPr>
    </w:p>
    <w:p w14:paraId="40BCA4F3" w14:textId="77777777" w:rsidR="005F2003" w:rsidRPr="007F7BA7" w:rsidRDefault="005F2003" w:rsidP="005F2003">
      <w:pPr>
        <w:rPr>
          <w:rFonts w:cs="Arial"/>
        </w:rPr>
      </w:pPr>
      <w:r w:rsidRPr="007F7BA7">
        <w:rPr>
          <w:rFonts w:cs="Arial"/>
        </w:rPr>
        <w:t>Included in these amendments are changes to the way Conditional Release Orders (CRO</w:t>
      </w:r>
      <w:r>
        <w:rPr>
          <w:rFonts w:cs="Arial"/>
        </w:rPr>
        <w:t>s</w:t>
      </w:r>
      <w:r w:rsidRPr="007F7BA7">
        <w:rPr>
          <w:rFonts w:cs="Arial"/>
        </w:rPr>
        <w:t xml:space="preserve">) operate. </w:t>
      </w:r>
    </w:p>
    <w:p w14:paraId="2010C875" w14:textId="77777777" w:rsidR="005F2003" w:rsidRPr="007F7BA7" w:rsidRDefault="005F2003" w:rsidP="005F2003">
      <w:pPr>
        <w:spacing w:before="240" w:after="60"/>
        <w:outlineLvl w:val="1"/>
        <w:rPr>
          <w:rFonts w:ascii="Arial Bold" w:hAnsi="Arial Bold" w:cs="Arial"/>
          <w:b/>
          <w:bCs/>
          <w:iCs/>
          <w:color w:val="F89A44"/>
          <w:sz w:val="30"/>
          <w:szCs w:val="30"/>
        </w:rPr>
      </w:pPr>
      <w:r w:rsidRPr="007F7BA7">
        <w:rPr>
          <w:rFonts w:ascii="Arial Bold" w:hAnsi="Arial Bold" w:cs="Arial"/>
          <w:b/>
          <w:bCs/>
          <w:iCs/>
          <w:color w:val="F89A44"/>
          <w:sz w:val="30"/>
          <w:szCs w:val="30"/>
        </w:rPr>
        <w:t>Changes to operational period</w:t>
      </w:r>
    </w:p>
    <w:p w14:paraId="3EE7039A" w14:textId="77777777" w:rsidR="005F2003" w:rsidRPr="007F7BA7" w:rsidRDefault="005F2003" w:rsidP="005F2003">
      <w:pPr>
        <w:spacing w:before="240" w:after="60"/>
        <w:outlineLvl w:val="1"/>
        <w:rPr>
          <w:rFonts w:cs="Arial"/>
        </w:rPr>
      </w:pPr>
      <w:r w:rsidRPr="007F7BA7">
        <w:rPr>
          <w:rFonts w:cs="Arial"/>
        </w:rPr>
        <w:t xml:space="preserve">Amendments to </w:t>
      </w:r>
      <w:r>
        <w:rPr>
          <w:rFonts w:cs="Arial"/>
        </w:rPr>
        <w:t xml:space="preserve">YJA </w:t>
      </w:r>
      <w:r w:rsidRPr="007F7BA7">
        <w:rPr>
          <w:rFonts w:cs="Arial"/>
        </w:rPr>
        <w:t>s</w:t>
      </w:r>
      <w:r>
        <w:rPr>
          <w:rFonts w:cs="Arial"/>
        </w:rPr>
        <w:t>.</w:t>
      </w:r>
      <w:r w:rsidRPr="007F7BA7">
        <w:rPr>
          <w:rFonts w:cs="Arial"/>
        </w:rPr>
        <w:t xml:space="preserve">221(1)(a) increase the maximum operational period of a CRO from three months to six months. The </w:t>
      </w:r>
      <w:r>
        <w:rPr>
          <w:rFonts w:cs="Arial"/>
        </w:rPr>
        <w:t xml:space="preserve">actual </w:t>
      </w:r>
      <w:r w:rsidRPr="007F7BA7">
        <w:rPr>
          <w:rFonts w:cs="Arial"/>
        </w:rPr>
        <w:t>length of a CRO remains discretionary; no criteria have been set to guide courts in determining an appropriate length for a CRO</w:t>
      </w:r>
      <w:r>
        <w:rPr>
          <w:rFonts w:cs="Arial"/>
        </w:rPr>
        <w:t>,</w:t>
      </w:r>
      <w:r w:rsidRPr="007F7BA7">
        <w:rPr>
          <w:rFonts w:cs="Arial"/>
        </w:rPr>
        <w:t xml:space="preserve"> including where a length greater than three months </w:t>
      </w:r>
      <w:r>
        <w:rPr>
          <w:rFonts w:cs="Arial"/>
        </w:rPr>
        <w:t>should</w:t>
      </w:r>
      <w:r w:rsidRPr="007F7BA7">
        <w:rPr>
          <w:rFonts w:cs="Arial"/>
        </w:rPr>
        <w:t xml:space="preserve"> be considered.</w:t>
      </w:r>
    </w:p>
    <w:p w14:paraId="3F81EF48" w14:textId="77777777" w:rsidR="005F2003" w:rsidRPr="007F7BA7" w:rsidRDefault="005F2003" w:rsidP="005F2003">
      <w:pPr>
        <w:spacing w:before="240" w:after="60"/>
        <w:outlineLvl w:val="1"/>
        <w:rPr>
          <w:rFonts w:cs="Arial"/>
        </w:rPr>
      </w:pPr>
      <w:r w:rsidRPr="007F7BA7">
        <w:rPr>
          <w:rFonts w:ascii="Arial Bold" w:hAnsi="Arial Bold" w:cs="Arial"/>
          <w:b/>
          <w:bCs/>
          <w:iCs/>
          <w:color w:val="F89A44"/>
          <w:sz w:val="30"/>
          <w:szCs w:val="30"/>
        </w:rPr>
        <w:t xml:space="preserve">Breach of CRO </w:t>
      </w:r>
      <w:r>
        <w:rPr>
          <w:rFonts w:ascii="Arial Bold" w:hAnsi="Arial Bold" w:cs="Arial"/>
          <w:b/>
          <w:bCs/>
          <w:iCs/>
          <w:color w:val="F89A44"/>
          <w:sz w:val="30"/>
          <w:szCs w:val="30"/>
        </w:rPr>
        <w:t xml:space="preserve">made in relation to a </w:t>
      </w:r>
      <w:r w:rsidRPr="007F7BA7">
        <w:rPr>
          <w:rFonts w:ascii="Arial Bold" w:hAnsi="Arial Bold" w:cs="Arial"/>
          <w:b/>
          <w:bCs/>
          <w:iCs/>
          <w:color w:val="F89A44"/>
          <w:sz w:val="30"/>
          <w:szCs w:val="30"/>
        </w:rPr>
        <w:t xml:space="preserve">prescribed </w:t>
      </w:r>
      <w:r>
        <w:rPr>
          <w:rFonts w:ascii="Arial Bold" w:hAnsi="Arial Bold" w:cs="Arial"/>
          <w:b/>
          <w:bCs/>
          <w:iCs/>
          <w:color w:val="F89A44"/>
          <w:sz w:val="30"/>
          <w:szCs w:val="30"/>
        </w:rPr>
        <w:t xml:space="preserve">indictable </w:t>
      </w:r>
      <w:proofErr w:type="gramStart"/>
      <w:r w:rsidRPr="007F7BA7">
        <w:rPr>
          <w:rFonts w:ascii="Arial Bold" w:hAnsi="Arial Bold" w:cs="Arial"/>
          <w:b/>
          <w:bCs/>
          <w:iCs/>
          <w:color w:val="F89A44"/>
          <w:sz w:val="30"/>
          <w:szCs w:val="30"/>
        </w:rPr>
        <w:t>offence</w:t>
      </w:r>
      <w:proofErr w:type="gramEnd"/>
    </w:p>
    <w:p w14:paraId="76C569CE" w14:textId="77777777" w:rsidR="005F2003" w:rsidRPr="007F7BA7" w:rsidRDefault="005F2003" w:rsidP="005F2003">
      <w:pPr>
        <w:spacing w:before="240" w:after="60"/>
        <w:outlineLvl w:val="1"/>
        <w:rPr>
          <w:rFonts w:cs="Arial"/>
        </w:rPr>
      </w:pPr>
      <w:r>
        <w:rPr>
          <w:rFonts w:cs="Arial"/>
        </w:rPr>
        <w:t>YJA s.</w:t>
      </w:r>
      <w:r w:rsidRPr="007F7BA7">
        <w:rPr>
          <w:rFonts w:cs="Arial"/>
        </w:rPr>
        <w:t xml:space="preserve">246 now </w:t>
      </w:r>
      <w:r>
        <w:rPr>
          <w:rFonts w:cs="Arial"/>
        </w:rPr>
        <w:t>applies only to</w:t>
      </w:r>
      <w:r w:rsidRPr="007F7BA7">
        <w:rPr>
          <w:rFonts w:cs="Arial"/>
        </w:rPr>
        <w:t xml:space="preserve"> CROs made in relation to </w:t>
      </w:r>
      <w:r>
        <w:rPr>
          <w:rFonts w:cs="Arial"/>
        </w:rPr>
        <w:t xml:space="preserve">offences that were </w:t>
      </w:r>
      <w:r w:rsidRPr="00F072A7">
        <w:rPr>
          <w:rFonts w:cs="Arial"/>
          <w:u w:val="single"/>
        </w:rPr>
        <w:t>not</w:t>
      </w:r>
      <w:r>
        <w:rPr>
          <w:rFonts w:cs="Arial"/>
        </w:rPr>
        <w:t xml:space="preserve"> </w:t>
      </w:r>
      <w:r w:rsidRPr="00F072A7">
        <w:rPr>
          <w:rFonts w:cs="Arial"/>
        </w:rPr>
        <w:t>prescribed</w:t>
      </w:r>
      <w:r w:rsidRPr="007F7BA7">
        <w:rPr>
          <w:rFonts w:cs="Arial"/>
        </w:rPr>
        <w:t xml:space="preserve"> indictable offence</w:t>
      </w:r>
      <w:r>
        <w:rPr>
          <w:rFonts w:cs="Arial"/>
        </w:rPr>
        <w:t>s (s.246(1))</w:t>
      </w:r>
      <w:r w:rsidRPr="007F7BA7">
        <w:rPr>
          <w:rFonts w:cs="Arial"/>
        </w:rPr>
        <w:t>.</w:t>
      </w:r>
    </w:p>
    <w:p w14:paraId="573DB425" w14:textId="77777777" w:rsidR="005F2003" w:rsidRDefault="005F2003" w:rsidP="005F2003">
      <w:pPr>
        <w:spacing w:before="240" w:after="60"/>
        <w:outlineLvl w:val="1"/>
        <w:rPr>
          <w:rFonts w:cs="Arial"/>
        </w:rPr>
      </w:pPr>
      <w:r w:rsidRPr="007F7BA7">
        <w:rPr>
          <w:rFonts w:cs="Arial"/>
        </w:rPr>
        <w:t xml:space="preserve">A new section 246A has also been introduced. Where a CRO relates to a prescribed indictable offence, this section requires the court (where a breach of the order is found proven) to revoke the CRO and order </w:t>
      </w:r>
      <w:r>
        <w:rPr>
          <w:rFonts w:cs="Arial"/>
        </w:rPr>
        <w:t xml:space="preserve">that </w:t>
      </w:r>
      <w:r w:rsidRPr="007F7BA7">
        <w:rPr>
          <w:rFonts w:cs="Arial"/>
        </w:rPr>
        <w:t>the head sentence of detention be served</w:t>
      </w:r>
      <w:r>
        <w:rPr>
          <w:rFonts w:cs="Arial"/>
        </w:rPr>
        <w:t>,</w:t>
      </w:r>
      <w:r w:rsidRPr="007F7BA7">
        <w:rPr>
          <w:rFonts w:cs="Arial"/>
        </w:rPr>
        <w:t xml:space="preserve"> unless the court considers there are special circumstances. </w:t>
      </w:r>
      <w:r>
        <w:rPr>
          <w:rFonts w:cs="Arial"/>
        </w:rPr>
        <w:t xml:space="preserve"> </w:t>
      </w:r>
    </w:p>
    <w:p w14:paraId="5291717B" w14:textId="5EAE13E2" w:rsidR="005F2003" w:rsidRDefault="005F2003" w:rsidP="005F2003">
      <w:pPr>
        <w:spacing w:before="240" w:after="60"/>
        <w:outlineLvl w:val="1"/>
        <w:rPr>
          <w:rFonts w:cs="Arial"/>
        </w:rPr>
      </w:pPr>
      <w:r>
        <w:rPr>
          <w:rFonts w:cs="Arial"/>
        </w:rPr>
        <w:t>S</w:t>
      </w:r>
      <w:r w:rsidRPr="007F7BA7">
        <w:rPr>
          <w:rFonts w:cs="Arial"/>
        </w:rPr>
        <w:t xml:space="preserve">pecial circumstances are not defined </w:t>
      </w:r>
      <w:r>
        <w:rPr>
          <w:rFonts w:cs="Arial"/>
        </w:rPr>
        <w:t xml:space="preserve">but the expression is taken from section 227(2) – ‘A </w:t>
      </w:r>
      <w:r>
        <w:rPr>
          <w:rFonts w:cs="Arial"/>
        </w:rPr>
        <w:t xml:space="preserve">court may </w:t>
      </w:r>
      <w:r w:rsidRPr="003414C0">
        <w:rPr>
          <w:rFonts w:cs="Arial"/>
        </w:rPr>
        <w:t>order a child to be released from detention after</w:t>
      </w:r>
      <w:r>
        <w:rPr>
          <w:rFonts w:cs="Arial"/>
        </w:rPr>
        <w:t xml:space="preserve"> </w:t>
      </w:r>
      <w:r w:rsidRPr="003414C0">
        <w:rPr>
          <w:rFonts w:cs="Arial"/>
        </w:rPr>
        <w:t>serving 50% or more, and less than 70%, of a period of</w:t>
      </w:r>
      <w:r>
        <w:rPr>
          <w:rFonts w:cs="Arial"/>
        </w:rPr>
        <w:t xml:space="preserve"> </w:t>
      </w:r>
      <w:r w:rsidRPr="003414C0">
        <w:rPr>
          <w:rFonts w:cs="Arial"/>
        </w:rPr>
        <w:t>detention if it considers that there are special circumstances</w:t>
      </w:r>
      <w:r>
        <w:rPr>
          <w:rFonts w:cs="Arial"/>
        </w:rPr>
        <w:t>…’.</w:t>
      </w:r>
    </w:p>
    <w:p w14:paraId="30BB62A3" w14:textId="77777777" w:rsidR="005F2003" w:rsidRDefault="005F2003" w:rsidP="005F2003">
      <w:pPr>
        <w:spacing w:before="240" w:after="60"/>
        <w:outlineLvl w:val="1"/>
        <w:rPr>
          <w:rFonts w:cs="Arial"/>
        </w:rPr>
      </w:pPr>
      <w:bookmarkStart w:id="1" w:name="_Hlk131580563"/>
      <w:r>
        <w:rPr>
          <w:rFonts w:cs="Arial"/>
        </w:rPr>
        <w:t xml:space="preserve">As with any decision under the YJA, when the court is determining special </w:t>
      </w:r>
      <w:proofErr w:type="gramStart"/>
      <w:r>
        <w:rPr>
          <w:rFonts w:cs="Arial"/>
        </w:rPr>
        <w:t>circumstances</w:t>
      </w:r>
      <w:proofErr w:type="gramEnd"/>
      <w:r>
        <w:rPr>
          <w:rFonts w:cs="Arial"/>
        </w:rPr>
        <w:t xml:space="preserve"> it must consider the youth justice principles (YJA s.3). </w:t>
      </w:r>
    </w:p>
    <w:bookmarkEnd w:id="1"/>
    <w:p w14:paraId="1FC3D0B9" w14:textId="77777777" w:rsidR="005F2003" w:rsidRPr="00313D64" w:rsidRDefault="005F2003" w:rsidP="005F2003">
      <w:pPr>
        <w:spacing w:before="240" w:after="60"/>
        <w:outlineLvl w:val="1"/>
        <w:rPr>
          <w:rFonts w:cs="Arial"/>
          <w:b/>
          <w:bCs/>
        </w:rPr>
      </w:pPr>
      <w:r>
        <w:rPr>
          <w:rFonts w:cs="Arial"/>
        </w:rPr>
        <w:t>The court’s decision as to whether special circumstances exist is a sentence order and reviewable under section 118 (s.246A(3)(c) and (3A)).</w:t>
      </w:r>
    </w:p>
    <w:p w14:paraId="362B03F4" w14:textId="482AFCC8" w:rsidR="005F2003" w:rsidRDefault="005F2003" w:rsidP="005F2003">
      <w:pPr>
        <w:spacing w:before="240" w:after="60"/>
        <w:outlineLvl w:val="1"/>
        <w:rPr>
          <w:rFonts w:cs="Arial"/>
        </w:rPr>
      </w:pPr>
      <w:r w:rsidRPr="007F7BA7">
        <w:rPr>
          <w:rFonts w:cs="Arial"/>
        </w:rPr>
        <w:t xml:space="preserve">Changes to sections 241 and 242 ensure that the new section 246A applies equally to departmental applications for contravention </w:t>
      </w:r>
      <w:proofErr w:type="gramStart"/>
      <w:r w:rsidRPr="007F7BA7">
        <w:rPr>
          <w:rFonts w:cs="Arial"/>
        </w:rPr>
        <w:t>and also</w:t>
      </w:r>
      <w:proofErr w:type="gramEnd"/>
      <w:r w:rsidRPr="007F7BA7">
        <w:rPr>
          <w:rFonts w:cs="Arial"/>
        </w:rPr>
        <w:t xml:space="preserve"> breaches from the bench for reoffending.</w:t>
      </w:r>
    </w:p>
    <w:p w14:paraId="2B436AB4" w14:textId="77777777" w:rsidR="005F2003" w:rsidRPr="007F7BA7" w:rsidRDefault="005F2003" w:rsidP="005F2003">
      <w:pPr>
        <w:spacing w:before="240" w:after="60"/>
        <w:outlineLvl w:val="1"/>
        <w:rPr>
          <w:rFonts w:ascii="Arial Bold" w:hAnsi="Arial Bold" w:cs="Arial"/>
          <w:iCs/>
          <w:color w:val="F89A44"/>
          <w:szCs w:val="22"/>
        </w:rPr>
      </w:pPr>
      <w:r>
        <w:rPr>
          <w:rFonts w:ascii="Arial Bold" w:hAnsi="Arial Bold" w:cs="Arial"/>
          <w:b/>
          <w:bCs/>
          <w:iCs/>
          <w:color w:val="F89A44"/>
          <w:sz w:val="30"/>
          <w:szCs w:val="30"/>
        </w:rPr>
        <w:t xml:space="preserve">Prescribed indictable </w:t>
      </w:r>
      <w:proofErr w:type="gramStart"/>
      <w:r>
        <w:rPr>
          <w:rFonts w:ascii="Arial Bold" w:hAnsi="Arial Bold" w:cs="Arial"/>
          <w:b/>
          <w:bCs/>
          <w:iCs/>
          <w:color w:val="F89A44"/>
          <w:sz w:val="30"/>
          <w:szCs w:val="30"/>
        </w:rPr>
        <w:t>offences</w:t>
      </w:r>
      <w:proofErr w:type="gramEnd"/>
    </w:p>
    <w:p w14:paraId="546144AB" w14:textId="77777777" w:rsidR="005F2003" w:rsidRDefault="005F2003" w:rsidP="005F2003">
      <w:pPr>
        <w:spacing w:before="240" w:after="60"/>
        <w:outlineLvl w:val="1"/>
        <w:rPr>
          <w:rFonts w:cs="Arial"/>
        </w:rPr>
      </w:pPr>
      <w:r w:rsidRPr="00B32E4C">
        <w:rPr>
          <w:rFonts w:cs="Arial"/>
        </w:rPr>
        <w:t xml:space="preserve">Prescribed indictable offences are defined in Schedule 4 (Dictionary) of the Act. </w:t>
      </w:r>
      <w:r>
        <w:rPr>
          <w:rFonts w:cs="Arial"/>
        </w:rPr>
        <w:t>Prior to the SCS Act t</w:t>
      </w:r>
      <w:r w:rsidRPr="00B32E4C">
        <w:rPr>
          <w:rFonts w:cs="Arial"/>
        </w:rPr>
        <w:t>hey include</w:t>
      </w:r>
      <w:r>
        <w:rPr>
          <w:rFonts w:cs="Arial"/>
        </w:rPr>
        <w:t>d</w:t>
      </w:r>
      <w:r w:rsidRPr="00B32E4C">
        <w:rPr>
          <w:rFonts w:cs="Arial"/>
        </w:rPr>
        <w:t xml:space="preserve"> life offences, offences which would attract 14 years imprisonment for an adult (except </w:t>
      </w:r>
      <w:r>
        <w:rPr>
          <w:rFonts w:cs="Arial"/>
        </w:rPr>
        <w:t xml:space="preserve">low-end </w:t>
      </w:r>
      <w:r w:rsidRPr="00B32E4C">
        <w:rPr>
          <w:rFonts w:cs="Arial"/>
        </w:rPr>
        <w:t xml:space="preserve">drug possession) and various personal, property and motor vehicle offences under the Criminal Code, including unlawful use of a motor vehicle </w:t>
      </w:r>
      <w:r>
        <w:rPr>
          <w:rFonts w:cs="Arial"/>
        </w:rPr>
        <w:t xml:space="preserve">(UUMV) </w:t>
      </w:r>
      <w:r w:rsidRPr="00B32E4C">
        <w:rPr>
          <w:rFonts w:cs="Arial"/>
        </w:rPr>
        <w:t xml:space="preserve">as a </w:t>
      </w:r>
      <w:r>
        <w:rPr>
          <w:rFonts w:cs="Arial"/>
        </w:rPr>
        <w:t>driver.</w:t>
      </w:r>
    </w:p>
    <w:p w14:paraId="329446B0" w14:textId="77777777" w:rsidR="005F2003" w:rsidRDefault="005F2003" w:rsidP="005F2003">
      <w:pPr>
        <w:spacing w:before="240" w:after="60"/>
        <w:outlineLvl w:val="1"/>
        <w:rPr>
          <w:rFonts w:cs="Arial"/>
        </w:rPr>
      </w:pPr>
      <w:r>
        <w:rPr>
          <w:rFonts w:cs="Arial"/>
        </w:rPr>
        <w:t xml:space="preserve">The SCS Act has added UUMV as a passenger (by removing </w:t>
      </w:r>
      <w:r>
        <w:rPr>
          <w:rFonts w:cs="Arial"/>
          <w:szCs w:val="22"/>
        </w:rPr>
        <w:t xml:space="preserve">the proviso that the child </w:t>
      </w:r>
      <w:r w:rsidRPr="007F1320">
        <w:rPr>
          <w:rFonts w:cs="Arial"/>
          <w:szCs w:val="22"/>
        </w:rPr>
        <w:t>was</w:t>
      </w:r>
      <w:r>
        <w:rPr>
          <w:rFonts w:cs="Arial"/>
          <w:szCs w:val="22"/>
        </w:rPr>
        <w:t xml:space="preserve"> </w:t>
      </w:r>
      <w:r w:rsidRPr="007F1320">
        <w:rPr>
          <w:rFonts w:cs="Arial"/>
          <w:szCs w:val="22"/>
        </w:rPr>
        <w:t>allegedly the driver</w:t>
      </w:r>
      <w:proofErr w:type="gramStart"/>
      <w:r>
        <w:rPr>
          <w:rFonts w:cs="Arial"/>
          <w:szCs w:val="22"/>
        </w:rPr>
        <w:t>)</w:t>
      </w:r>
      <w:r w:rsidRPr="00B32E4C">
        <w:rPr>
          <w:rFonts w:cs="Arial"/>
        </w:rPr>
        <w:t>, and</w:t>
      </w:r>
      <w:proofErr w:type="gramEnd"/>
      <w:r w:rsidRPr="00B32E4C">
        <w:rPr>
          <w:rFonts w:cs="Arial"/>
        </w:rPr>
        <w:t xml:space="preserve"> entering premises with intent to commit an indictable offence.</w:t>
      </w:r>
    </w:p>
    <w:p w14:paraId="790D8B0A" w14:textId="7D689D5C" w:rsidR="006E017E" w:rsidRDefault="005F2003" w:rsidP="005F2003">
      <w:r>
        <w:t xml:space="preserve">The SCS Act also created new circumstances of aggravation for UUMV, some of which attract </w:t>
      </w:r>
      <w:r w:rsidRPr="00B32E4C">
        <w:t>14 years imprisonment for an adult</w:t>
      </w:r>
      <w:r>
        <w:t xml:space="preserve"> (Criminal Code s.408A(1C))</w:t>
      </w:r>
      <w:r w:rsidRPr="00716CCC">
        <w:rPr>
          <w:szCs w:val="22"/>
        </w:rPr>
        <w:t xml:space="preserve"> </w:t>
      </w:r>
      <w:r>
        <w:rPr>
          <w:szCs w:val="22"/>
        </w:rPr>
        <w:t xml:space="preserve">– at night, with violence, armed, in company, or property damage); these are also prescribed indictable offences due to their </w:t>
      </w:r>
      <w:proofErr w:type="gramStart"/>
      <w:r>
        <w:rPr>
          <w:szCs w:val="22"/>
        </w:rPr>
        <w:t>14 year</w:t>
      </w:r>
      <w:proofErr w:type="gramEnd"/>
      <w:r>
        <w:rPr>
          <w:szCs w:val="22"/>
        </w:rPr>
        <w:t xml:space="preserve"> penalty</w:t>
      </w:r>
      <w:r>
        <w:t>.</w:t>
      </w:r>
    </w:p>
    <w:p w14:paraId="6AB38E9B" w14:textId="77777777" w:rsidR="005F2003" w:rsidRDefault="005F2003" w:rsidP="005F2003">
      <w:pPr>
        <w:spacing w:before="240" w:after="60"/>
        <w:outlineLvl w:val="1"/>
        <w:rPr>
          <w:rFonts w:ascii="Arial Bold" w:hAnsi="Arial Bold" w:cs="Arial"/>
          <w:b/>
          <w:bCs/>
          <w:iCs/>
          <w:color w:val="F89A44"/>
          <w:sz w:val="30"/>
          <w:szCs w:val="30"/>
        </w:rPr>
      </w:pPr>
      <w:r>
        <w:rPr>
          <w:rFonts w:ascii="Arial Bold" w:hAnsi="Arial Bold" w:cs="Arial"/>
          <w:b/>
          <w:bCs/>
          <w:iCs/>
          <w:color w:val="F89A44"/>
          <w:sz w:val="30"/>
          <w:szCs w:val="30"/>
        </w:rPr>
        <w:lastRenderedPageBreak/>
        <w:t>Transitional arrangements</w:t>
      </w:r>
    </w:p>
    <w:p w14:paraId="0572C4FA" w14:textId="77777777" w:rsidR="005F2003" w:rsidRDefault="005F2003" w:rsidP="005F2003">
      <w:pPr>
        <w:spacing w:before="240" w:after="60"/>
        <w:outlineLvl w:val="1"/>
        <w:rPr>
          <w:rFonts w:cs="Arial"/>
        </w:rPr>
      </w:pPr>
      <w:r>
        <w:rPr>
          <w:rFonts w:cs="Arial"/>
        </w:rPr>
        <w:t>YJA s.410 provides that the new breach provisions under s.246A apply if the breach occurs after the commencement of the legislation, irrespective of when the order was made.</w:t>
      </w:r>
    </w:p>
    <w:p w14:paraId="1EFB572E" w14:textId="77777777" w:rsidR="005F2003" w:rsidRDefault="005F2003" w:rsidP="005F2003">
      <w:pPr>
        <w:spacing w:before="240" w:after="60"/>
        <w:outlineLvl w:val="1"/>
        <w:rPr>
          <w:rFonts w:cs="Arial"/>
        </w:rPr>
      </w:pPr>
      <w:r>
        <w:rPr>
          <w:rFonts w:cs="Arial"/>
        </w:rPr>
        <w:t>It is likely that a CRO made before commencement for an offence that was not a prescribed indictable offence before commencement is not a CRO ‘made in relation to a prescribed indictable offence’, and so section 246 will apply rather than 246A. However, a court decision may be needed for certainty.</w:t>
      </w:r>
    </w:p>
    <w:p w14:paraId="2B4C4792" w14:textId="77777777" w:rsidR="005F2003" w:rsidRDefault="005F2003" w:rsidP="005F2003">
      <w:pPr>
        <w:pStyle w:val="Heading2"/>
        <w:jc w:val="both"/>
      </w:pPr>
      <w:bookmarkStart w:id="2" w:name="_Hlk129345246"/>
      <w:r>
        <w:t xml:space="preserve">Further information </w:t>
      </w:r>
    </w:p>
    <w:p w14:paraId="286266EF" w14:textId="77777777" w:rsidR="005F2003" w:rsidRDefault="005F2003" w:rsidP="005F2003">
      <w:pPr>
        <w:spacing w:after="0"/>
        <w:jc w:val="both"/>
      </w:pPr>
      <w:bookmarkStart w:id="3" w:name="_Hlk129345254"/>
      <w:r>
        <w:t xml:space="preserve">For further information about the </w:t>
      </w:r>
      <w:r w:rsidRPr="00F2045A">
        <w:rPr>
          <w:i/>
          <w:iCs/>
        </w:rPr>
        <w:t>Strengthening Communities Safety Act 2023</w:t>
      </w:r>
      <w:r>
        <w:t xml:space="preserve"> please email Youth Justice Policy, Strategy and Legislation (YJPSL) at</w:t>
      </w:r>
    </w:p>
    <w:p w14:paraId="6213AFD2" w14:textId="77777777" w:rsidR="005F2003" w:rsidRDefault="005F2003" w:rsidP="005F2003">
      <w:pPr>
        <w:jc w:val="both"/>
      </w:pPr>
      <w:hyperlink r:id="rId17" w:history="1">
        <w:r w:rsidRPr="00D92284">
          <w:rPr>
            <w:rStyle w:val="Hyperlink"/>
          </w:rPr>
          <w:t>OSED_YJPSL@cyjma.qld.gov.au</w:t>
        </w:r>
      </w:hyperlink>
      <w:r>
        <w:t xml:space="preserve">. </w:t>
      </w:r>
    </w:p>
    <w:p w14:paraId="284CF2B1" w14:textId="77777777" w:rsidR="005F2003" w:rsidRPr="007F7BA7" w:rsidRDefault="005F2003" w:rsidP="005F2003">
      <w:pPr>
        <w:spacing w:before="240" w:after="60"/>
        <w:outlineLvl w:val="1"/>
        <w:rPr>
          <w:rFonts w:cs="Arial"/>
        </w:rPr>
      </w:pPr>
      <w:r>
        <w:t>YJPSL cannot give legal advice but may be able to assist with other questions.</w:t>
      </w:r>
      <w:r w:rsidDel="002070F1">
        <w:t xml:space="preserve"> </w:t>
      </w:r>
      <w:bookmarkEnd w:id="2"/>
      <w:bookmarkEnd w:id="3"/>
    </w:p>
    <w:p w14:paraId="208D47B1" w14:textId="77777777" w:rsidR="005F2003" w:rsidRDefault="005F2003" w:rsidP="005F2003"/>
    <w:sectPr w:rsidR="005F2003" w:rsidSect="005F2003">
      <w:headerReference w:type="default" r:id="rId18"/>
      <w:footerReference w:type="default" r:id="rId19"/>
      <w:type w:val="continuous"/>
      <w:pgSz w:w="11906" w:h="16838"/>
      <w:pgMar w:top="1985" w:right="1134" w:bottom="1418" w:left="1134" w:header="709" w:footer="709" w:gutter="0"/>
      <w:cols w:num="2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F2EAA" w14:textId="77777777" w:rsidR="003F48B6" w:rsidRDefault="003F48B6">
      <w:r>
        <w:separator/>
      </w:r>
    </w:p>
  </w:endnote>
  <w:endnote w:type="continuationSeparator" w:id="0">
    <w:p w14:paraId="0A398B2C" w14:textId="77777777" w:rsidR="003F48B6" w:rsidRDefault="003F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3C36" w14:textId="77777777" w:rsidR="007D0395" w:rsidRDefault="007D03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71CFC" w14:textId="77777777" w:rsidR="007D0395" w:rsidRDefault="007D03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7325" w14:textId="77777777" w:rsidR="007D0395" w:rsidRDefault="007D039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8B25" w14:textId="77777777" w:rsidR="00F77B8F" w:rsidRDefault="00F77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138C" w14:textId="77777777" w:rsidR="003F48B6" w:rsidRDefault="003F48B6">
      <w:r>
        <w:separator/>
      </w:r>
    </w:p>
  </w:footnote>
  <w:footnote w:type="continuationSeparator" w:id="0">
    <w:p w14:paraId="692607BE" w14:textId="77777777" w:rsidR="003F48B6" w:rsidRDefault="003F4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CCC9" w14:textId="77777777" w:rsidR="007D0395" w:rsidRDefault="007D03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14BB" w14:textId="3B9608A4" w:rsidR="00B21459" w:rsidRDefault="00B3699D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5D661EF" wp14:editId="7383FC05">
          <wp:simplePos x="0" y="0"/>
          <wp:positionH relativeFrom="column">
            <wp:posOffset>-732447</wp:posOffset>
          </wp:positionH>
          <wp:positionV relativeFrom="paragraph">
            <wp:posOffset>-448493</wp:posOffset>
          </wp:positionV>
          <wp:extent cx="7599600" cy="10749756"/>
          <wp:effectExtent l="0" t="0" r="1905" b="0"/>
          <wp:wrapNone/>
          <wp:docPr id="20750717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071707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9600" cy="107497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64C40" w14:textId="77777777" w:rsidR="007D0395" w:rsidRDefault="007D039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1F700" w14:textId="77777777" w:rsidR="00F77B8F" w:rsidRDefault="00F77B8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6DB56F" wp14:editId="2AD4BAAE">
              <wp:simplePos x="0" y="0"/>
              <wp:positionH relativeFrom="column">
                <wp:posOffset>-720090</wp:posOffset>
              </wp:positionH>
              <wp:positionV relativeFrom="paragraph">
                <wp:posOffset>-127486</wp:posOffset>
              </wp:positionV>
              <wp:extent cx="7559675" cy="362660"/>
              <wp:effectExtent l="0" t="0" r="0" b="0"/>
              <wp:wrapNone/>
              <wp:docPr id="1832701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362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FCAF9F" w14:textId="38E2B660" w:rsidR="00F77B8F" w:rsidRPr="00F77B8F" w:rsidRDefault="00F77B8F" w:rsidP="00F77B8F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6DB5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56.7pt;margin-top:-10.05pt;width:595.25pt;height:28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" filled="f" stroked="f" strokeweight=".5pt">
              <v:textbox>
                <w:txbxContent>
                  <w:p w14:paraId="6FFCAF9F" w14:textId="38E2B660" w:rsidR="00F77B8F" w:rsidRPr="00F77B8F" w:rsidRDefault="00F77B8F" w:rsidP="00F77B8F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17D5D2DD" wp14:editId="010737CA">
          <wp:simplePos x="0" y="0"/>
          <wp:positionH relativeFrom="column">
            <wp:posOffset>-717857</wp:posOffset>
          </wp:positionH>
          <wp:positionV relativeFrom="paragraph">
            <wp:posOffset>-435610</wp:posOffset>
          </wp:positionV>
          <wp:extent cx="7560000" cy="1285200"/>
          <wp:effectExtent l="0" t="0" r="0" b="0"/>
          <wp:wrapNone/>
          <wp:docPr id="1531318431" name="Picture 1531318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975121" name="Picture 4319751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2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86C9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4800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44E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4498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4C0F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46F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7011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0A7B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F23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444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95252027">
    <w:abstractNumId w:val="0"/>
  </w:num>
  <w:num w:numId="2" w16cid:durableId="1155990301">
    <w:abstractNumId w:val="1"/>
  </w:num>
  <w:num w:numId="3" w16cid:durableId="2052804923">
    <w:abstractNumId w:val="2"/>
  </w:num>
  <w:num w:numId="4" w16cid:durableId="2085908971">
    <w:abstractNumId w:val="3"/>
  </w:num>
  <w:num w:numId="5" w16cid:durableId="284428574">
    <w:abstractNumId w:val="8"/>
  </w:num>
  <w:num w:numId="6" w16cid:durableId="396981857">
    <w:abstractNumId w:val="4"/>
  </w:num>
  <w:num w:numId="7" w16cid:durableId="85228144">
    <w:abstractNumId w:val="5"/>
  </w:num>
  <w:num w:numId="8" w16cid:durableId="1471291342">
    <w:abstractNumId w:val="6"/>
  </w:num>
  <w:num w:numId="9" w16cid:durableId="20983732">
    <w:abstractNumId w:val="7"/>
  </w:num>
  <w:num w:numId="10" w16cid:durableId="4431608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41261"/>
    <w:rsid w:val="000442EB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F4D"/>
    <w:rsid w:val="000654DB"/>
    <w:rsid w:val="00065B95"/>
    <w:rsid w:val="00070336"/>
    <w:rsid w:val="000708C2"/>
    <w:rsid w:val="0007559F"/>
    <w:rsid w:val="0007574E"/>
    <w:rsid w:val="00077D38"/>
    <w:rsid w:val="000829FC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3BB6"/>
    <w:rsid w:val="001B42DD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A51"/>
    <w:rsid w:val="00202FF5"/>
    <w:rsid w:val="0020536F"/>
    <w:rsid w:val="002056E6"/>
    <w:rsid w:val="00205967"/>
    <w:rsid w:val="0020637E"/>
    <w:rsid w:val="002140B9"/>
    <w:rsid w:val="002203A6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7B19"/>
    <w:rsid w:val="00302A75"/>
    <w:rsid w:val="003035B2"/>
    <w:rsid w:val="003039A9"/>
    <w:rsid w:val="00303DDD"/>
    <w:rsid w:val="00306C23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F12D9"/>
    <w:rsid w:val="003F23A0"/>
    <w:rsid w:val="003F43AA"/>
    <w:rsid w:val="003F48B6"/>
    <w:rsid w:val="003F5FFA"/>
    <w:rsid w:val="003F6637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60F7"/>
    <w:rsid w:val="00416834"/>
    <w:rsid w:val="00417CC1"/>
    <w:rsid w:val="004200C6"/>
    <w:rsid w:val="004203CF"/>
    <w:rsid w:val="0042192A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6A66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585A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2FA6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A21C3"/>
    <w:rsid w:val="005A358A"/>
    <w:rsid w:val="005A3F19"/>
    <w:rsid w:val="005A4518"/>
    <w:rsid w:val="005A5A79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2EDE"/>
    <w:rsid w:val="005D5996"/>
    <w:rsid w:val="005D64E0"/>
    <w:rsid w:val="005D6DBA"/>
    <w:rsid w:val="005D6F9D"/>
    <w:rsid w:val="005D71BF"/>
    <w:rsid w:val="005D7494"/>
    <w:rsid w:val="005D7565"/>
    <w:rsid w:val="005E2C05"/>
    <w:rsid w:val="005E3DAD"/>
    <w:rsid w:val="005E6573"/>
    <w:rsid w:val="005E73B1"/>
    <w:rsid w:val="005F2003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21815"/>
    <w:rsid w:val="0062185B"/>
    <w:rsid w:val="0062267C"/>
    <w:rsid w:val="00623463"/>
    <w:rsid w:val="006237EA"/>
    <w:rsid w:val="0062449B"/>
    <w:rsid w:val="006247E7"/>
    <w:rsid w:val="006250D4"/>
    <w:rsid w:val="00627C93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3FD5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CFF"/>
    <w:rsid w:val="006B2F0B"/>
    <w:rsid w:val="006B38CE"/>
    <w:rsid w:val="006B4416"/>
    <w:rsid w:val="006B5B47"/>
    <w:rsid w:val="006B5F51"/>
    <w:rsid w:val="006B7E8F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17E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0ADF"/>
    <w:rsid w:val="007225BE"/>
    <w:rsid w:val="00724AF6"/>
    <w:rsid w:val="00731F8F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6162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5076"/>
    <w:rsid w:val="007954B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71F1"/>
    <w:rsid w:val="007D0055"/>
    <w:rsid w:val="007D039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10EF2"/>
    <w:rsid w:val="00811199"/>
    <w:rsid w:val="00811DC7"/>
    <w:rsid w:val="00813F77"/>
    <w:rsid w:val="008224EC"/>
    <w:rsid w:val="0082310B"/>
    <w:rsid w:val="00824263"/>
    <w:rsid w:val="00825EF8"/>
    <w:rsid w:val="00826D5F"/>
    <w:rsid w:val="00826F29"/>
    <w:rsid w:val="00827576"/>
    <w:rsid w:val="00830AD5"/>
    <w:rsid w:val="00833259"/>
    <w:rsid w:val="0083400D"/>
    <w:rsid w:val="00835CED"/>
    <w:rsid w:val="0083721F"/>
    <w:rsid w:val="0084060F"/>
    <w:rsid w:val="008408EA"/>
    <w:rsid w:val="008412FE"/>
    <w:rsid w:val="008427ED"/>
    <w:rsid w:val="008428FC"/>
    <w:rsid w:val="00844CEB"/>
    <w:rsid w:val="00845E70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6D98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600F"/>
    <w:rsid w:val="008F6A56"/>
    <w:rsid w:val="00900982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6440"/>
    <w:rsid w:val="00977D81"/>
    <w:rsid w:val="00980717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3AAE"/>
    <w:rsid w:val="009F503F"/>
    <w:rsid w:val="009F58F2"/>
    <w:rsid w:val="00A01078"/>
    <w:rsid w:val="00A01C47"/>
    <w:rsid w:val="00A01C84"/>
    <w:rsid w:val="00A03D81"/>
    <w:rsid w:val="00A0606D"/>
    <w:rsid w:val="00A105C2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96925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E03C9"/>
    <w:rsid w:val="00AE41AD"/>
    <w:rsid w:val="00AE4214"/>
    <w:rsid w:val="00AE4239"/>
    <w:rsid w:val="00AE5BE6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61A5"/>
    <w:rsid w:val="00B36519"/>
    <w:rsid w:val="00B3699D"/>
    <w:rsid w:val="00B36A8A"/>
    <w:rsid w:val="00B4103C"/>
    <w:rsid w:val="00B43970"/>
    <w:rsid w:val="00B45FAB"/>
    <w:rsid w:val="00B50A9A"/>
    <w:rsid w:val="00B52C0E"/>
    <w:rsid w:val="00B5331C"/>
    <w:rsid w:val="00B54622"/>
    <w:rsid w:val="00B549B6"/>
    <w:rsid w:val="00B572C8"/>
    <w:rsid w:val="00B62F06"/>
    <w:rsid w:val="00B632EF"/>
    <w:rsid w:val="00B64085"/>
    <w:rsid w:val="00B70838"/>
    <w:rsid w:val="00B746AB"/>
    <w:rsid w:val="00B74C9B"/>
    <w:rsid w:val="00B75951"/>
    <w:rsid w:val="00B759B6"/>
    <w:rsid w:val="00B80863"/>
    <w:rsid w:val="00B80C36"/>
    <w:rsid w:val="00B82C7E"/>
    <w:rsid w:val="00B83AE6"/>
    <w:rsid w:val="00B83E4D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66F67"/>
    <w:rsid w:val="00C7117F"/>
    <w:rsid w:val="00C71781"/>
    <w:rsid w:val="00C7202F"/>
    <w:rsid w:val="00C73020"/>
    <w:rsid w:val="00C74500"/>
    <w:rsid w:val="00C74B58"/>
    <w:rsid w:val="00C74BE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253F"/>
    <w:rsid w:val="00CB2D98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F34"/>
    <w:rsid w:val="00D125FC"/>
    <w:rsid w:val="00D12BA4"/>
    <w:rsid w:val="00D1339D"/>
    <w:rsid w:val="00D136D0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F033B4"/>
    <w:rsid w:val="00F04367"/>
    <w:rsid w:val="00F04618"/>
    <w:rsid w:val="00F04D02"/>
    <w:rsid w:val="00F11A7E"/>
    <w:rsid w:val="00F123F2"/>
    <w:rsid w:val="00F1590C"/>
    <w:rsid w:val="00F16B95"/>
    <w:rsid w:val="00F2021D"/>
    <w:rsid w:val="00F227E8"/>
    <w:rsid w:val="00F25849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77B8F"/>
    <w:rsid w:val="00F80294"/>
    <w:rsid w:val="00F808EF"/>
    <w:rsid w:val="00F813FD"/>
    <w:rsid w:val="00F82753"/>
    <w:rsid w:val="00F83399"/>
    <w:rsid w:val="00F8393F"/>
    <w:rsid w:val="00F84535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1D7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6FDD1A"/>
  <w14:defaultImageDpi w14:val="300"/>
  <w15:chartTrackingRefBased/>
  <w15:docId w15:val="{1FCCE845-05CA-694A-B4A2-EFF4A5AD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C57"/>
    <w:pPr>
      <w:spacing w:after="24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9F58F2"/>
    <w:pPr>
      <w:snapToGrid w:val="0"/>
      <w:spacing w:before="240" w:after="360"/>
      <w:outlineLvl w:val="0"/>
    </w:pPr>
    <w:rPr>
      <w:rFonts w:cs="Arial"/>
      <w:b/>
      <w:bCs/>
      <w:color w:val="055772"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qFormat/>
    <w:rsid w:val="009F58F2"/>
    <w:pPr>
      <w:spacing w:before="240" w:after="60"/>
      <w:outlineLvl w:val="1"/>
    </w:pPr>
    <w:rPr>
      <w:rFonts w:ascii="Arial Bold" w:hAnsi="Arial Bold" w:cs="Arial"/>
      <w:b/>
      <w:bCs/>
      <w:iCs/>
      <w:color w:val="F89A44"/>
      <w:sz w:val="30"/>
      <w:szCs w:val="30"/>
    </w:rPr>
  </w:style>
  <w:style w:type="paragraph" w:styleId="Heading3">
    <w:name w:val="heading 3"/>
    <w:basedOn w:val="Normal"/>
    <w:next w:val="Normal"/>
    <w:qFormat/>
    <w:rsid w:val="009F58F2"/>
    <w:pPr>
      <w:spacing w:before="160" w:after="60"/>
      <w:outlineLvl w:val="2"/>
    </w:pPr>
    <w:rPr>
      <w:rFonts w:cs="Arial"/>
      <w:b/>
      <w:bCs/>
      <w:color w:val="055772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F58F2"/>
    <w:pPr>
      <w:keepNext/>
      <w:keepLines/>
      <w:spacing w:before="120" w:after="60"/>
      <w:outlineLvl w:val="3"/>
    </w:pPr>
    <w:rPr>
      <w:rFonts w:eastAsiaTheme="majorEastAsia" w:cs="Arial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14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1459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l"/>
    <w:rsid w:val="00A72C57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rsid w:val="009F58F2"/>
    <w:rPr>
      <w:rFonts w:ascii="Arial" w:eastAsiaTheme="majorEastAsia" w:hAnsi="Arial" w:cs="Arial"/>
      <w:b/>
      <w:iCs/>
      <w:color w:val="000000" w:themeColor="text1"/>
      <w:sz w:val="22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rsid w:val="005F2003"/>
    <w:rPr>
      <w:rFonts w:ascii="Arial Bold" w:hAnsi="Arial Bold" w:cs="Arial"/>
      <w:b/>
      <w:bCs/>
      <w:iCs/>
      <w:color w:val="F89A44"/>
      <w:sz w:val="30"/>
      <w:szCs w:val="30"/>
      <w:lang w:eastAsia="en-AU"/>
    </w:rPr>
  </w:style>
  <w:style w:type="character" w:styleId="Hyperlink">
    <w:name w:val="Hyperlink"/>
    <w:basedOn w:val="DefaultParagraphFont"/>
    <w:rsid w:val="005F20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OSED_YJPSL@cyjma.qld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F2431AAD9DA4EA0AF530A4AAA6A2E" ma:contentTypeVersion="276" ma:contentTypeDescription="Create a new document." ma:contentTypeScope="" ma:versionID="7800e5df172010b8728c698f859d692b">
  <xsd:schema xmlns:xsd="http://www.w3.org/2001/XMLSchema" xmlns:xs="http://www.w3.org/2001/XMLSchema" xmlns:p="http://schemas.microsoft.com/office/2006/metadata/properties" xmlns:ns2="dbefc7fa-1a1d-4432-8b48-0661d01a2bf9" xmlns:ns3="c5cd0b95-ad48-469c-b60b-2c41487abb3e" xmlns:ns4="6fbbf639-a96b-4cb5-b890-7fc984a8433e" targetNamespace="http://schemas.microsoft.com/office/2006/metadata/properties" ma:root="true" ma:fieldsID="e7157cc54be51ffaa7950c4f98be0495" ns2:_="" ns3:_="" ns4:_="">
    <xsd:import namespace="dbefc7fa-1a1d-4432-8b48-0661d01a2bf9"/>
    <xsd:import namespace="c5cd0b95-ad48-469c-b60b-2c41487abb3e"/>
    <xsd:import namespace="6fbbf639-a96b-4cb5-b890-7fc984a843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Actionlea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d0b95-ad48-469c-b60b-2c41487ab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ctionlead" ma:index="27" nillable="true" ma:displayName="Action lead" ma:format="Dropdown" ma:internalName="Actionlead">
      <xsd:simpleType>
        <xsd:restriction base="dms:Choice">
          <xsd:enumeration value="DESBT Investment"/>
          <xsd:enumeration value="DESBT Strategy"/>
          <xsd:enumeration value="DESBT Engagement"/>
          <xsd:enumeration value="JQ"/>
          <xsd:enumeration value="DoR"/>
          <xsd:enumeration value="DSDSATSIP"/>
          <xsd:enumeration value="QPSC"/>
          <xsd:enumeration value="DoE"/>
          <xsd:enumeration value="DCYJMA"/>
          <xsd:enumeration value="DAF"/>
          <xsd:enumeration value="QWS team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bf639-a96b-4cb5-b890-7fc984a84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efc7fa-1a1d-4432-8b48-0661d01a2bf9" xsi:nil="true"/>
    <lcf76f155ced4ddcb4097134ff3c332f xmlns="c5cd0b95-ad48-469c-b60b-2c41487abb3e">
      <Terms xmlns="http://schemas.microsoft.com/office/infopath/2007/PartnerControls"/>
    </lcf76f155ced4ddcb4097134ff3c332f>
    <Actionlead xmlns="c5cd0b95-ad48-469c-b60b-2c41487abb3e" xsi:nil="true"/>
    <_dlc_DocId xmlns="dbefc7fa-1a1d-4432-8b48-0661d01a2bf9">NER3HZ3QZUNC-1648413401-222732</_dlc_DocId>
    <_dlc_DocIdUrl xmlns="dbefc7fa-1a1d-4432-8b48-0661d01a2bf9">
      <Url>https://dsitiaqld.sharepoint.com/sites/DESBT/engagement/customer-experience/communications/_layouts/15/DocIdRedir.aspx?ID=NER3HZ3QZUNC-1648413401-222732</Url>
      <Description>NER3HZ3QZUNC-1648413401-222732</Description>
    </_dlc_DocIdUrl>
  </documentManagement>
</p:properties>
</file>

<file path=customXml/itemProps1.xml><?xml version="1.0" encoding="utf-8"?>
<ds:datastoreItem xmlns:ds="http://schemas.openxmlformats.org/officeDocument/2006/customXml" ds:itemID="{D90EA086-3FCE-4EAD-9735-FC8E479D0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c5cd0b95-ad48-469c-b60b-2c41487abb3e"/>
    <ds:schemaRef ds:uri="6fbbf639-a96b-4cb5-b890-7fc984a84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936337-0DA6-4EF4-9CA3-00B265EEFF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DAB30C0-341D-4F25-A1BF-CA6BA92141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7E02C5-FF20-483F-945A-D4C9A257AC0B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6fbbf639-a96b-4cb5-b890-7fc984a8433e"/>
    <ds:schemaRef ds:uri="c5cd0b95-ad48-469c-b60b-2c41487abb3e"/>
    <ds:schemaRef ds:uri="dbefc7fa-1a1d-4432-8b48-0661d01a2bf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DCCSDS Fact Sheet portrait A4 blue</vt:lpstr>
    </vt:vector>
  </TitlesOfParts>
  <Manager>Department of Communities, Child Safety and Disability Services</Manager>
  <Company>Queensland Government</Company>
  <LinksUpToDate>false</LinksUpToDate>
  <CharactersWithSpaces>3782</CharactersWithSpaces>
  <SharedDoc>false</SharedDoc>
  <HLinks>
    <vt:vector size="6" baseType="variant">
      <vt:variant>
        <vt:i4>1310803</vt:i4>
      </vt:variant>
      <vt:variant>
        <vt:i4>-1</vt:i4>
      </vt:variant>
      <vt:variant>
        <vt:i4>2068</vt:i4>
      </vt:variant>
      <vt:variant>
        <vt:i4>1</vt:i4>
      </vt:variant>
      <vt:variant>
        <vt:lpwstr>DCSYW Factsheet Port A4_grey top_JAN18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DCCSDS Fact Sheet portrait A4 blue</dc:title>
  <dc:subject>online templates</dc:subject>
  <dc:creator>Communications Services</dc:creator>
  <cp:keywords>fact sheet, template, A4, portrait, blue, 2 columns</cp:keywords>
  <dc:description/>
  <cp:lastModifiedBy>Katharine Tilston</cp:lastModifiedBy>
  <cp:revision>2</cp:revision>
  <dcterms:created xsi:type="dcterms:W3CDTF">2024-05-17T02:11:00Z</dcterms:created>
  <dcterms:modified xsi:type="dcterms:W3CDTF">2024-05-17T02:11:00Z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0x010100843F2431AAD9DA4EA0AF530A4AAA6A2E</vt:lpwstr>
  </property>
  <property fmtid="{D5CDD505-2E9C-101B-9397-08002B2CF9AE}" pid="3" name="_dlc_DocIdItemGuid">
    <vt:lpwstr>2e8867cb-1f05-4979-a714-3aaa3543f48c</vt:lpwstr>
  </property>
</Properties>
</file>