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3CDE" w14:textId="7CFEF68E" w:rsidR="00D136D0" w:rsidRPr="00D136D0" w:rsidRDefault="00EF7E78" w:rsidP="00EF7E78">
      <w:pPr>
        <w:pStyle w:val="Heading1"/>
        <w:spacing w:before="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722E4" wp14:editId="2D4A4CC1">
                <wp:simplePos x="0" y="0"/>
                <wp:positionH relativeFrom="column">
                  <wp:posOffset>2828925</wp:posOffset>
                </wp:positionH>
                <wp:positionV relativeFrom="paragraph">
                  <wp:posOffset>-687705</wp:posOffset>
                </wp:positionV>
                <wp:extent cx="3792772" cy="604299"/>
                <wp:effectExtent l="0" t="0" r="1778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772" cy="6042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F1BF5" w14:textId="77777777" w:rsidR="00EF7E78" w:rsidRPr="00853144" w:rsidRDefault="00EF7E78" w:rsidP="00EF7E78">
                            <w:pPr>
                              <w:jc w:val="center"/>
                              <w:rPr>
                                <w:color w:val="FF0000"/>
                                <w:szCs w:val="22"/>
                              </w:rPr>
                            </w:pPr>
                            <w:r w:rsidRPr="00853144">
                              <w:rPr>
                                <w:color w:val="FF0000"/>
                                <w:szCs w:val="22"/>
                              </w:rPr>
                              <w:t xml:space="preserve">The document was current </w:t>
                            </w:r>
                            <w:proofErr w:type="gramStart"/>
                            <w:r w:rsidRPr="00853144">
                              <w:rPr>
                                <w:color w:val="FF0000"/>
                                <w:szCs w:val="22"/>
                              </w:rPr>
                              <w:t>at</w:t>
                            </w:r>
                            <w:proofErr w:type="gramEnd"/>
                            <w:r w:rsidRPr="00853144">
                              <w:rPr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Cs w:val="22"/>
                              </w:rPr>
                              <w:t>March 2023,</w:t>
                            </w:r>
                            <w:r w:rsidRPr="00853144">
                              <w:rPr>
                                <w:color w:val="FF0000"/>
                                <w:szCs w:val="22"/>
                              </w:rPr>
                              <w:t xml:space="preserve"> and explains changes made at that time. For up-to-date information, please search ‘Changes to the</w:t>
                            </w:r>
                            <w:r w:rsidRPr="00853144">
                              <w:rPr>
                                <w:i/>
                                <w:iCs/>
                                <w:color w:val="FF0000"/>
                                <w:szCs w:val="22"/>
                              </w:rPr>
                              <w:t xml:space="preserve"> Youth Justice Act 1992</w:t>
                            </w:r>
                            <w:r w:rsidRPr="00853144">
                              <w:rPr>
                                <w:color w:val="FF0000"/>
                                <w:szCs w:val="22"/>
                              </w:rPr>
                              <w:t>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722E4" id="Rectangle 3" o:spid="_x0000_s1026" style="position:absolute;margin-left:222.75pt;margin-top:-54.15pt;width:298.6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" fillcolor="window" strokecolor="window" strokeweight="1pt">
                <v:textbox>
                  <w:txbxContent>
                    <w:p w14:paraId="7A0F1BF5" w14:textId="77777777" w:rsidR="00EF7E78" w:rsidRPr="00853144" w:rsidRDefault="00EF7E78" w:rsidP="00EF7E78">
                      <w:pPr>
                        <w:jc w:val="center"/>
                        <w:rPr>
                          <w:color w:val="FF0000"/>
                          <w:szCs w:val="22"/>
                        </w:rPr>
                      </w:pPr>
                      <w:r w:rsidRPr="00853144">
                        <w:rPr>
                          <w:color w:val="FF0000"/>
                          <w:szCs w:val="22"/>
                        </w:rPr>
                        <w:t xml:space="preserve">The document was current </w:t>
                      </w:r>
                      <w:proofErr w:type="gramStart"/>
                      <w:r w:rsidRPr="00853144">
                        <w:rPr>
                          <w:color w:val="FF0000"/>
                          <w:szCs w:val="22"/>
                        </w:rPr>
                        <w:t>at</w:t>
                      </w:r>
                      <w:proofErr w:type="gramEnd"/>
                      <w:r w:rsidRPr="00853144">
                        <w:rPr>
                          <w:color w:val="FF0000"/>
                          <w:szCs w:val="22"/>
                        </w:rPr>
                        <w:t xml:space="preserve"> </w:t>
                      </w:r>
                      <w:r>
                        <w:rPr>
                          <w:color w:val="FF0000"/>
                          <w:szCs w:val="22"/>
                        </w:rPr>
                        <w:t>March 2023,</w:t>
                      </w:r>
                      <w:r w:rsidRPr="00853144">
                        <w:rPr>
                          <w:color w:val="FF0000"/>
                          <w:szCs w:val="22"/>
                        </w:rPr>
                        <w:t xml:space="preserve"> and explains changes made at that time. For up-to-date information, please search ‘Changes to the</w:t>
                      </w:r>
                      <w:r w:rsidRPr="00853144">
                        <w:rPr>
                          <w:i/>
                          <w:iCs/>
                          <w:color w:val="FF0000"/>
                          <w:szCs w:val="22"/>
                        </w:rPr>
                        <w:t xml:space="preserve"> Youth Justice Act 1992</w:t>
                      </w:r>
                      <w:r w:rsidRPr="00853144">
                        <w:rPr>
                          <w:color w:val="FF0000"/>
                          <w:szCs w:val="22"/>
                        </w:rPr>
                        <w:t>’.</w:t>
                      </w:r>
                    </w:p>
                  </w:txbxContent>
                </v:textbox>
              </v:rect>
            </w:pict>
          </mc:Fallback>
        </mc:AlternateContent>
      </w:r>
      <w:r w:rsidRPr="00EF7E78">
        <w:rPr>
          <w:sz w:val="44"/>
          <w:szCs w:val="28"/>
        </w:rPr>
        <w:t xml:space="preserve">Accommodation of detainees over 18 in adult custody </w:t>
      </w:r>
      <w:r w:rsidRPr="00EF7E78">
        <w:rPr>
          <w:sz w:val="44"/>
          <w:szCs w:val="28"/>
        </w:rPr>
        <w:t>– information for legal stakeholders</w:t>
      </w:r>
    </w:p>
    <w:p w14:paraId="3AA696E4" w14:textId="77777777" w:rsidR="00D136D0" w:rsidRDefault="00D136D0" w:rsidP="009F58F2">
      <w:pPr>
        <w:pStyle w:val="Heading2"/>
        <w:sectPr w:rsidR="00D136D0" w:rsidSect="00EF7E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134" w:bottom="1701" w:left="1134" w:header="709" w:footer="1474" w:gutter="0"/>
          <w:cols w:space="709"/>
          <w:docGrid w:linePitch="360"/>
        </w:sectPr>
      </w:pPr>
    </w:p>
    <w:p w14:paraId="1B0A4409" w14:textId="77777777" w:rsidR="00EF7E78" w:rsidRDefault="00EF7E78" w:rsidP="00EF7E78">
      <w:pPr>
        <w:pStyle w:val="Heading2"/>
        <w:jc w:val="both"/>
      </w:pPr>
      <w:r w:rsidRPr="00983971">
        <w:t>Background</w:t>
      </w:r>
    </w:p>
    <w:p w14:paraId="73E0CB88" w14:textId="77777777" w:rsidR="00EF7E78" w:rsidRDefault="00EF7E78" w:rsidP="00EF7E78">
      <w:pPr>
        <w:jc w:val="both"/>
      </w:pPr>
      <w:r w:rsidRPr="00B57C0C">
        <w:t xml:space="preserve">The </w:t>
      </w:r>
      <w:r w:rsidRPr="002B4F37">
        <w:rPr>
          <w:i/>
          <w:iCs/>
        </w:rPr>
        <w:t>Strengthening Communities Safety Act 2023</w:t>
      </w:r>
      <w:r w:rsidRPr="00B57C0C">
        <w:t xml:space="preserve"> was passed by the Queensland Parliament </w:t>
      </w:r>
      <w:r w:rsidRPr="005D7ED7">
        <w:t xml:space="preserve">on 16 March 2023 and commenced </w:t>
      </w:r>
      <w:r w:rsidRPr="00B57C0C">
        <w:t xml:space="preserve">on </w:t>
      </w:r>
      <w:r w:rsidRPr="002B4F37">
        <w:t>22 March 2023</w:t>
      </w:r>
      <w:r w:rsidRPr="00B57C0C">
        <w:t xml:space="preserve">, </w:t>
      </w:r>
      <w:r>
        <w:t>making</w:t>
      </w:r>
      <w:r w:rsidRPr="00B57C0C">
        <w:t xml:space="preserve"> changes to the </w:t>
      </w:r>
      <w:r w:rsidRPr="002B4F37">
        <w:rPr>
          <w:i/>
          <w:iCs/>
        </w:rPr>
        <w:t>Youth Justice Act 1992</w:t>
      </w:r>
      <w:r w:rsidRPr="00B57C0C">
        <w:t xml:space="preserve">, the </w:t>
      </w:r>
      <w:r w:rsidRPr="002B4F37">
        <w:rPr>
          <w:i/>
          <w:iCs/>
        </w:rPr>
        <w:t>Bail Act 1980</w:t>
      </w:r>
      <w:r w:rsidRPr="00B57C0C">
        <w:t xml:space="preserve">, the </w:t>
      </w:r>
      <w:r w:rsidRPr="002B4F37">
        <w:rPr>
          <w:i/>
          <w:iCs/>
        </w:rPr>
        <w:t>Police Powers and Responsibilities Act 2000</w:t>
      </w:r>
      <w:r w:rsidRPr="00B57C0C">
        <w:t xml:space="preserve"> and the Criminal Code</w:t>
      </w:r>
      <w:r>
        <w:t>.</w:t>
      </w:r>
    </w:p>
    <w:p w14:paraId="11ED1E70" w14:textId="77777777" w:rsidR="00EF7E78" w:rsidRDefault="00EF7E78" w:rsidP="00EF7E78">
      <w:pPr>
        <w:jc w:val="both"/>
      </w:pPr>
      <w:r>
        <w:t xml:space="preserve">These changes include new arrangements in the </w:t>
      </w:r>
      <w:r w:rsidRPr="00AD4261">
        <w:rPr>
          <w:i/>
          <w:iCs/>
        </w:rPr>
        <w:t>Youth Justice Act 1992</w:t>
      </w:r>
      <w:r>
        <w:t xml:space="preserve"> for the accommodation of detainees over 18 in adult facilities. </w:t>
      </w:r>
    </w:p>
    <w:p w14:paraId="50B5763E" w14:textId="77777777" w:rsidR="00EF7E78" w:rsidRDefault="00EF7E78" w:rsidP="00EF7E78">
      <w:pPr>
        <w:pStyle w:val="Heading2"/>
        <w:jc w:val="both"/>
      </w:pPr>
      <w:r>
        <w:t>Sentenced detainees</w:t>
      </w:r>
    </w:p>
    <w:p w14:paraId="5C861445" w14:textId="597873CA" w:rsidR="00EF7E78" w:rsidRDefault="00EF7E78" w:rsidP="00EF7E78">
      <w:pPr>
        <w:pStyle w:val="Heading3"/>
        <w:jc w:val="both"/>
      </w:pPr>
      <w:r>
        <w:t>Transfers during period of detention</w:t>
      </w:r>
    </w:p>
    <w:p w14:paraId="1EC47C8D" w14:textId="77777777" w:rsidR="00EF7E78" w:rsidRDefault="00EF7E78" w:rsidP="00EF7E78">
      <w:pPr>
        <w:spacing w:after="80"/>
        <w:jc w:val="both"/>
      </w:pPr>
      <w:r>
        <w:t xml:space="preserve">If a court sentences a young person to a detention order, they become liable for transfer to a corrective service facility if: </w:t>
      </w:r>
    </w:p>
    <w:p w14:paraId="72EAECC2" w14:textId="77777777" w:rsidR="00EF7E78" w:rsidRDefault="00EF7E78" w:rsidP="00EF7E78">
      <w:pPr>
        <w:pStyle w:val="ListParagraph"/>
        <w:numPr>
          <w:ilvl w:val="0"/>
          <w:numId w:val="11"/>
        </w:numPr>
        <w:spacing w:after="80"/>
        <w:contextualSpacing w:val="0"/>
        <w:jc w:val="both"/>
      </w:pPr>
      <w:r>
        <w:t>they turn eighteen years of age whilst serving a period of detention and are liable to serve a remaining period of detention of two months or more of actual custody (s.276B(1)(a)), or</w:t>
      </w:r>
    </w:p>
    <w:p w14:paraId="3989CFE1" w14:textId="77777777" w:rsidR="00EF7E78" w:rsidRDefault="00EF7E78" w:rsidP="00EF7E78">
      <w:pPr>
        <w:pStyle w:val="ListParagraph"/>
        <w:numPr>
          <w:ilvl w:val="0"/>
          <w:numId w:val="11"/>
        </w:numPr>
        <w:ind w:right="111"/>
        <w:jc w:val="both"/>
      </w:pPr>
      <w:r>
        <w:t>they are 18 years old when commencing detention (sentence date) and are liable to serve a remaining period of two months or more actual custody (s.276B(1)(b)).</w:t>
      </w:r>
    </w:p>
    <w:p w14:paraId="76F8B8E3" w14:textId="77777777" w:rsidR="00EF7E78" w:rsidRDefault="00EF7E78" w:rsidP="00EF7E78">
      <w:pPr>
        <w:jc w:val="both"/>
      </w:pPr>
      <w:r>
        <w:t xml:space="preserve">If this is the </w:t>
      </w:r>
      <w:r w:rsidRPr="00F466D3">
        <w:t>case the</w:t>
      </w:r>
      <w:r w:rsidRPr="003D3213">
        <w:t xml:space="preserve"> chief executive</w:t>
      </w:r>
      <w:r>
        <w:t xml:space="preserve"> must give the young person a ‘prison transfer direction’ advising them they will be transferred to a correctional service facility on a given day (s.276C(1)).</w:t>
      </w:r>
    </w:p>
    <w:p w14:paraId="3ED9C79D" w14:textId="77777777" w:rsidR="00EF7E78" w:rsidRDefault="00EF7E78" w:rsidP="00EF7E78">
      <w:pPr>
        <w:jc w:val="both"/>
        <w:rPr>
          <w:lang w:val="en-US"/>
        </w:rPr>
      </w:pPr>
      <w:r>
        <w:rPr>
          <w:lang w:val="en-US"/>
        </w:rPr>
        <w:t xml:space="preserve">A process then follows, including the chief executive </w:t>
      </w:r>
      <w:r w:rsidRPr="00910EC1">
        <w:rPr>
          <w:lang w:val="en-US"/>
        </w:rPr>
        <w:t>facilitat</w:t>
      </w:r>
      <w:r>
        <w:rPr>
          <w:lang w:val="en-US"/>
        </w:rPr>
        <w:t>ing</w:t>
      </w:r>
      <w:r w:rsidRPr="00910EC1">
        <w:rPr>
          <w:lang w:val="en-US"/>
        </w:rPr>
        <w:t xml:space="preserve"> a consultation between the person and a lawyer</w:t>
      </w:r>
      <w:r>
        <w:rPr>
          <w:lang w:val="en-US"/>
        </w:rPr>
        <w:t xml:space="preserve"> (s.276C(4)), the opportunity for the young person to apply for a </w:t>
      </w:r>
      <w:r>
        <w:rPr>
          <w:lang w:val="en-US"/>
        </w:rPr>
        <w:t>delay (s.276C(3)(c)), and the chief executive considering a range of factors before making a decision (s.276</w:t>
      </w:r>
      <w:proofErr w:type="gramStart"/>
      <w:r>
        <w:rPr>
          <w:lang w:val="en-US"/>
        </w:rPr>
        <w:t>DA(</w:t>
      </w:r>
      <w:proofErr w:type="gramEnd"/>
      <w:r>
        <w:rPr>
          <w:lang w:val="en-US"/>
        </w:rPr>
        <w:t>4) &amp; (5)).</w:t>
      </w:r>
      <w:r w:rsidRPr="009666B9">
        <w:rPr>
          <w:lang w:val="en-US"/>
        </w:rPr>
        <w:t xml:space="preserve"> </w:t>
      </w:r>
      <w:r>
        <w:rPr>
          <w:lang w:val="en-US"/>
        </w:rPr>
        <w:t>An application for delay under s.276DA must be made within five business days of the consultation with the lawyer, or if the young person refused to consult with a lawyer, within five business days of that refusal (s276</w:t>
      </w:r>
      <w:proofErr w:type="gramStart"/>
      <w:r>
        <w:rPr>
          <w:lang w:val="en-US"/>
        </w:rPr>
        <w:t>DA(</w:t>
      </w:r>
      <w:proofErr w:type="gramEnd"/>
      <w:r>
        <w:rPr>
          <w:lang w:val="en-US"/>
        </w:rPr>
        <w:t>2)).</w:t>
      </w:r>
    </w:p>
    <w:p w14:paraId="43CBA249" w14:textId="77777777" w:rsidR="00EF7E78" w:rsidRDefault="00EF7E78" w:rsidP="00EF7E78">
      <w:pPr>
        <w:jc w:val="both"/>
        <w:rPr>
          <w:lang w:val="en-US"/>
        </w:rPr>
      </w:pPr>
      <w:r>
        <w:rPr>
          <w:lang w:val="en-US"/>
        </w:rPr>
        <w:t xml:space="preserve">Following the decision, the chief executive </w:t>
      </w:r>
      <w:r w:rsidRPr="008E6C6E">
        <w:rPr>
          <w:lang w:val="en-US"/>
        </w:rPr>
        <w:t>must facilitate a further consultation with a lawyer (s.276</w:t>
      </w:r>
      <w:r>
        <w:rPr>
          <w:lang w:val="en-US"/>
        </w:rPr>
        <w:t>DA</w:t>
      </w:r>
      <w:r w:rsidRPr="008E6C6E">
        <w:rPr>
          <w:lang w:val="en-US"/>
        </w:rPr>
        <w:t>(</w:t>
      </w:r>
      <w:r>
        <w:rPr>
          <w:lang w:val="en-US"/>
        </w:rPr>
        <w:t>7</w:t>
      </w:r>
      <w:r w:rsidRPr="008E6C6E">
        <w:rPr>
          <w:lang w:val="en-US"/>
        </w:rPr>
        <w:t>)(</w:t>
      </w:r>
      <w:r>
        <w:rPr>
          <w:lang w:val="en-US"/>
        </w:rPr>
        <w:t>c</w:t>
      </w:r>
      <w:r w:rsidRPr="008E6C6E">
        <w:rPr>
          <w:lang w:val="en-US"/>
        </w:rPr>
        <w:t>))</w:t>
      </w:r>
      <w:r>
        <w:rPr>
          <w:lang w:val="en-US"/>
        </w:rPr>
        <w:t>.</w:t>
      </w:r>
    </w:p>
    <w:p w14:paraId="761D9299" w14:textId="77777777" w:rsidR="00EF7E78" w:rsidRDefault="00EF7E78" w:rsidP="00EF7E78">
      <w:pPr>
        <w:jc w:val="both"/>
        <w:rPr>
          <w:lang w:val="en-US"/>
        </w:rPr>
      </w:pPr>
      <w:r>
        <w:rPr>
          <w:lang w:val="en-US"/>
        </w:rPr>
        <w:t xml:space="preserve">The detainee may seek a review of the chief executive’s decision in the Childrens Court (s.276DB). </w:t>
      </w:r>
      <w:r w:rsidRPr="009666B9">
        <w:rPr>
          <w:lang w:val="en-US"/>
        </w:rPr>
        <w:t xml:space="preserve">The application </w:t>
      </w:r>
      <w:r>
        <w:rPr>
          <w:lang w:val="en-US"/>
        </w:rPr>
        <w:t>must be made</w:t>
      </w:r>
      <w:r w:rsidRPr="009666B9">
        <w:rPr>
          <w:lang w:val="en-US"/>
        </w:rPr>
        <w:t xml:space="preserve"> within </w:t>
      </w:r>
      <w:r>
        <w:rPr>
          <w:lang w:val="en-US"/>
        </w:rPr>
        <w:t>five</w:t>
      </w:r>
      <w:r w:rsidRPr="009666B9">
        <w:rPr>
          <w:lang w:val="en-US"/>
        </w:rPr>
        <w:t xml:space="preserve"> </w:t>
      </w:r>
      <w:r>
        <w:rPr>
          <w:lang w:val="en-US"/>
        </w:rPr>
        <w:t xml:space="preserve">business </w:t>
      </w:r>
      <w:r w:rsidRPr="009666B9">
        <w:rPr>
          <w:lang w:val="en-US"/>
        </w:rPr>
        <w:t xml:space="preserve">days of the </w:t>
      </w:r>
      <w:r>
        <w:rPr>
          <w:lang w:val="en-US"/>
        </w:rPr>
        <w:t xml:space="preserve">further </w:t>
      </w:r>
      <w:r w:rsidRPr="009666B9">
        <w:rPr>
          <w:lang w:val="en-US"/>
        </w:rPr>
        <w:t>consultation with the lawyer</w:t>
      </w:r>
      <w:r>
        <w:rPr>
          <w:lang w:val="en-US"/>
        </w:rPr>
        <w:t>, or if the young person refused to consult with a lawyer, within five business days of that refusal</w:t>
      </w:r>
      <w:r w:rsidRPr="009666B9">
        <w:rPr>
          <w:lang w:val="en-US"/>
        </w:rPr>
        <w:t>. (s276</w:t>
      </w:r>
      <w:proofErr w:type="gramStart"/>
      <w:r w:rsidRPr="009666B9">
        <w:rPr>
          <w:lang w:val="en-US"/>
        </w:rPr>
        <w:t>DB</w:t>
      </w:r>
      <w:r>
        <w:rPr>
          <w:lang w:val="en-US"/>
        </w:rPr>
        <w:t>(</w:t>
      </w:r>
      <w:proofErr w:type="gramEnd"/>
      <w:r>
        <w:rPr>
          <w:lang w:val="en-US"/>
        </w:rPr>
        <w:t>2)</w:t>
      </w:r>
      <w:r w:rsidRPr="009666B9">
        <w:rPr>
          <w:lang w:val="en-US"/>
        </w:rPr>
        <w:t xml:space="preserve">). </w:t>
      </w:r>
      <w:r>
        <w:t>If a review is in progress, any transfer will be stayed until the review is finalised (s.276</w:t>
      </w:r>
      <w:proofErr w:type="gramStart"/>
      <w:r>
        <w:t>DB(</w:t>
      </w:r>
      <w:proofErr w:type="gramEnd"/>
      <w:r>
        <w:t>3)).</w:t>
      </w:r>
    </w:p>
    <w:p w14:paraId="678DEDBE" w14:textId="77777777" w:rsidR="00EF7E78" w:rsidRPr="002B4F37" w:rsidRDefault="00EF7E78" w:rsidP="00EF7E78">
      <w:pPr>
        <w:pStyle w:val="Heading3"/>
        <w:jc w:val="both"/>
      </w:pPr>
      <w:r w:rsidRPr="002B4F37">
        <w:t xml:space="preserve">Application for delay at the time of sentencing </w:t>
      </w:r>
    </w:p>
    <w:p w14:paraId="4AE67D18" w14:textId="77777777" w:rsidR="00EF7E78" w:rsidRDefault="00EF7E78" w:rsidP="00EF7E78">
      <w:pPr>
        <w:jc w:val="both"/>
        <w:rPr>
          <w:lang w:val="en-US"/>
        </w:rPr>
      </w:pPr>
      <w:r>
        <w:t>Apart from consequential amendments, there are no changes to section 276D of the Act, which provides for an application to a sentencing court for a delay of transfer if the court’s sentence order has made a young person liable for transfer</w:t>
      </w:r>
      <w:r>
        <w:rPr>
          <w:lang w:val="en-US"/>
        </w:rPr>
        <w:t>.</w:t>
      </w:r>
    </w:p>
    <w:p w14:paraId="0759F137" w14:textId="77777777" w:rsidR="00EF7E78" w:rsidRDefault="00EF7E78" w:rsidP="00EF7E78">
      <w:pPr>
        <w:pStyle w:val="Heading3"/>
        <w:jc w:val="both"/>
      </w:pPr>
      <w:r>
        <w:t>Automatic accommodation in an adult facility of persons sentenced when aged over 18</w:t>
      </w:r>
      <w:proofErr w:type="gramStart"/>
      <w:r>
        <w:t>½</w:t>
      </w:r>
      <w:proofErr w:type="gramEnd"/>
      <w:r>
        <w:t xml:space="preserve"> </w:t>
      </w:r>
    </w:p>
    <w:p w14:paraId="20878940" w14:textId="77777777" w:rsidR="00EF7E78" w:rsidRPr="001E5991" w:rsidRDefault="00EF7E78" w:rsidP="00EF7E78">
      <w:pPr>
        <w:ind w:right="111"/>
        <w:jc w:val="both"/>
      </w:pPr>
      <w:r>
        <w:t xml:space="preserve">Apart from a consequential amendment, there is no change to section 276F of the Act, which provides that young people are automatically accommodated in a correctional services facility if </w:t>
      </w:r>
      <w:r w:rsidRPr="001E5991">
        <w:t xml:space="preserve">they are </w:t>
      </w:r>
      <w:r>
        <w:t xml:space="preserve">18½ </w:t>
      </w:r>
      <w:r w:rsidRPr="001E5991">
        <w:t>or older when sentenced</w:t>
      </w:r>
      <w:r>
        <w:t xml:space="preserve">, or when they return </w:t>
      </w:r>
      <w:r>
        <w:lastRenderedPageBreak/>
        <w:t>to custody to complete a period of detention, for example, because of a breach of an order.</w:t>
      </w:r>
    </w:p>
    <w:p w14:paraId="0AA90D8E" w14:textId="77777777" w:rsidR="00EF7E78" w:rsidRDefault="00EF7E78" w:rsidP="00EF7E78">
      <w:pPr>
        <w:pStyle w:val="Heading2"/>
        <w:jc w:val="both"/>
      </w:pPr>
      <w:r>
        <w:t>Remanded detainees</w:t>
      </w:r>
    </w:p>
    <w:p w14:paraId="1279C7FF" w14:textId="77777777" w:rsidR="00EF7E78" w:rsidRPr="001E5991" w:rsidRDefault="00EF7E78" w:rsidP="00EF7E78">
      <w:pPr>
        <w:jc w:val="both"/>
      </w:pPr>
      <w:r>
        <w:t xml:space="preserve">New provisions establish a process for the transfer of a </w:t>
      </w:r>
      <w:proofErr w:type="spellStart"/>
      <w:r>
        <w:t>remandee</w:t>
      </w:r>
      <w:proofErr w:type="spellEnd"/>
      <w:r>
        <w:t xml:space="preserve"> if the</w:t>
      </w:r>
      <w:r w:rsidRPr="001E5991">
        <w:t>y</w:t>
      </w:r>
      <w:r>
        <w:t xml:space="preserve"> are</w:t>
      </w:r>
      <w:r w:rsidRPr="001E5991">
        <w:rPr>
          <w:lang w:val="en-US"/>
        </w:rPr>
        <w:t xml:space="preserve"> 17 years and 10 months while remanded </w:t>
      </w:r>
      <w:r w:rsidRPr="001E5991">
        <w:t xml:space="preserve">in custody </w:t>
      </w:r>
      <w:r w:rsidRPr="001E5991">
        <w:rPr>
          <w:lang w:val="en-US"/>
        </w:rPr>
        <w:t xml:space="preserve">with no </w:t>
      </w:r>
      <w:r>
        <w:rPr>
          <w:lang w:val="en-US"/>
        </w:rPr>
        <w:t>set</w:t>
      </w:r>
      <w:r w:rsidRPr="001E5991">
        <w:rPr>
          <w:lang w:val="en-US"/>
        </w:rPr>
        <w:t xml:space="preserve"> court date</w:t>
      </w:r>
      <w:r>
        <w:rPr>
          <w:lang w:val="en-US"/>
        </w:rPr>
        <w:t>,</w:t>
      </w:r>
      <w:r w:rsidRPr="001E5991">
        <w:rPr>
          <w:lang w:val="en-US"/>
        </w:rPr>
        <w:t xml:space="preserve"> </w:t>
      </w:r>
      <w:r>
        <w:rPr>
          <w:lang w:val="en-US"/>
        </w:rPr>
        <w:t>or no</w:t>
      </w:r>
      <w:r w:rsidRPr="001E5991">
        <w:rPr>
          <w:lang w:val="en-US"/>
        </w:rPr>
        <w:t xml:space="preserve"> court date </w:t>
      </w:r>
      <w:r>
        <w:rPr>
          <w:lang w:val="en-US"/>
        </w:rPr>
        <w:t xml:space="preserve">for at least </w:t>
      </w:r>
      <w:r w:rsidRPr="001E5991">
        <w:rPr>
          <w:lang w:val="en-US"/>
        </w:rPr>
        <w:t xml:space="preserve">two months </w:t>
      </w:r>
      <w:r>
        <w:rPr>
          <w:lang w:val="en-US"/>
        </w:rPr>
        <w:t>(part 8, division 2A, subdivision 3).</w:t>
      </w:r>
    </w:p>
    <w:p w14:paraId="64FA3915" w14:textId="77777777" w:rsidR="00EF7E78" w:rsidRDefault="00EF7E78" w:rsidP="00EF7E78">
      <w:pPr>
        <w:jc w:val="both"/>
        <w:rPr>
          <w:lang w:val="en-US"/>
        </w:rPr>
      </w:pPr>
      <w:r>
        <w:rPr>
          <w:lang w:val="en-US"/>
        </w:rPr>
        <w:t>If this is the case</w:t>
      </w:r>
      <w:r w:rsidRPr="001E5991">
        <w:rPr>
          <w:lang w:val="en-US"/>
        </w:rPr>
        <w:t xml:space="preserve">, the </w:t>
      </w:r>
      <w:r w:rsidRPr="003D3213">
        <w:rPr>
          <w:lang w:val="en-US"/>
        </w:rPr>
        <w:t>chief executive</w:t>
      </w:r>
      <w:r w:rsidRPr="001E5991">
        <w:rPr>
          <w:lang w:val="en-US"/>
        </w:rPr>
        <w:t xml:space="preserve"> may give a </w:t>
      </w:r>
      <w:r w:rsidRPr="003D3213">
        <w:rPr>
          <w:lang w:val="en-US"/>
        </w:rPr>
        <w:t>prison transfer notice</w:t>
      </w:r>
      <w:r w:rsidRPr="001E5991">
        <w:rPr>
          <w:lang w:val="en-US"/>
        </w:rPr>
        <w:t xml:space="preserve"> to the </w:t>
      </w:r>
      <w:r w:rsidRPr="003D3213">
        <w:rPr>
          <w:lang w:val="en-US"/>
        </w:rPr>
        <w:t>young person</w:t>
      </w:r>
      <w:r w:rsidRPr="001E5991">
        <w:rPr>
          <w:lang w:val="en-US"/>
        </w:rPr>
        <w:t xml:space="preserve"> informing them they are </w:t>
      </w:r>
      <w:r w:rsidRPr="003D3213">
        <w:rPr>
          <w:lang w:val="en-US"/>
        </w:rPr>
        <w:t xml:space="preserve">being </w:t>
      </w:r>
      <w:r>
        <w:rPr>
          <w:lang w:val="en-US"/>
        </w:rPr>
        <w:t xml:space="preserve">considered for </w:t>
      </w:r>
      <w:r w:rsidRPr="003D3213">
        <w:rPr>
          <w:lang w:val="en-US"/>
        </w:rPr>
        <w:t xml:space="preserve">transfer </w:t>
      </w:r>
      <w:r w:rsidRPr="001E5991">
        <w:rPr>
          <w:lang w:val="en-US"/>
        </w:rPr>
        <w:t>to an adult correctional facility</w:t>
      </w:r>
      <w:r>
        <w:rPr>
          <w:lang w:val="en-US"/>
        </w:rPr>
        <w:t xml:space="preserve"> (s.276H(1))</w:t>
      </w:r>
      <w:r w:rsidRPr="001E5991">
        <w:rPr>
          <w:lang w:val="en-US"/>
        </w:rPr>
        <w:t>.</w:t>
      </w:r>
    </w:p>
    <w:p w14:paraId="6E6CC45A" w14:textId="77777777" w:rsidR="00EF7E78" w:rsidRDefault="00EF7E78" w:rsidP="00EF7E78">
      <w:pPr>
        <w:jc w:val="both"/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remandee</w:t>
      </w:r>
      <w:proofErr w:type="spellEnd"/>
      <w:r>
        <w:rPr>
          <w:lang w:val="en-US"/>
        </w:rPr>
        <w:t xml:space="preserve"> aged at least </w:t>
      </w:r>
      <w:r w:rsidRPr="001E5991">
        <w:rPr>
          <w:lang w:val="en-US"/>
        </w:rPr>
        <w:t>17 years and 10 months</w:t>
      </w:r>
      <w:r>
        <w:rPr>
          <w:lang w:val="en-US"/>
        </w:rPr>
        <w:t xml:space="preserve"> may also request a prison transfer notice (s.276H(5)).</w:t>
      </w:r>
    </w:p>
    <w:p w14:paraId="5DB595D9" w14:textId="77777777" w:rsidR="00EF7E78" w:rsidRDefault="00EF7E78" w:rsidP="00EF7E78">
      <w:pPr>
        <w:jc w:val="both"/>
        <w:rPr>
          <w:lang w:val="en-US"/>
        </w:rPr>
      </w:pPr>
      <w:r>
        <w:rPr>
          <w:lang w:val="en-US"/>
        </w:rPr>
        <w:t xml:space="preserve">A process then follows, including the chief executive </w:t>
      </w:r>
      <w:r w:rsidRPr="00910EC1">
        <w:rPr>
          <w:lang w:val="en-US"/>
        </w:rPr>
        <w:t>facilitat</w:t>
      </w:r>
      <w:r>
        <w:rPr>
          <w:lang w:val="en-US"/>
        </w:rPr>
        <w:t>ing</w:t>
      </w:r>
      <w:r w:rsidRPr="00910EC1">
        <w:rPr>
          <w:lang w:val="en-US"/>
        </w:rPr>
        <w:t xml:space="preserve"> a consultation between the person and a lawyer</w:t>
      </w:r>
      <w:r>
        <w:rPr>
          <w:lang w:val="en-US"/>
        </w:rPr>
        <w:t xml:space="preserve"> (s.276H(7)), the opportunity for the person to make a submission (s.276H(1)(d)), and the chief executive considering a range of factors before </w:t>
      </w:r>
      <w:proofErr w:type="gramStart"/>
      <w:r>
        <w:rPr>
          <w:lang w:val="en-US"/>
        </w:rPr>
        <w:t>making a decision</w:t>
      </w:r>
      <w:proofErr w:type="gramEnd"/>
      <w:r>
        <w:rPr>
          <w:lang w:val="en-US"/>
        </w:rPr>
        <w:t xml:space="preserve"> (s.276I(2)).</w:t>
      </w:r>
      <w:r w:rsidRPr="009666B9">
        <w:rPr>
          <w:lang w:val="en-US"/>
        </w:rPr>
        <w:t xml:space="preserve"> </w:t>
      </w:r>
    </w:p>
    <w:p w14:paraId="1A428811" w14:textId="77777777" w:rsidR="00EF7E78" w:rsidRDefault="00EF7E78" w:rsidP="00EF7E78">
      <w:pPr>
        <w:jc w:val="both"/>
        <w:rPr>
          <w:lang w:val="en-US"/>
        </w:rPr>
      </w:pPr>
      <w:bookmarkStart w:id="0" w:name="_Hlk129253943"/>
      <w:r>
        <w:rPr>
          <w:lang w:val="en-US"/>
        </w:rPr>
        <w:t xml:space="preserve">An actual transfer cannot occur until the young person turns 18 years of age (s.276I(1)). </w:t>
      </w:r>
    </w:p>
    <w:p w14:paraId="056AACAD" w14:textId="77777777" w:rsidR="00EF7E78" w:rsidRDefault="00EF7E78" w:rsidP="00EF7E78">
      <w:pPr>
        <w:jc w:val="both"/>
        <w:rPr>
          <w:lang w:val="en-US"/>
        </w:rPr>
      </w:pPr>
      <w:r>
        <w:rPr>
          <w:lang w:val="en-US"/>
        </w:rPr>
        <w:t xml:space="preserve">If the decision is to transfer the person, the chief executive must </w:t>
      </w:r>
      <w:r w:rsidRPr="00910EC1">
        <w:rPr>
          <w:lang w:val="en-US"/>
        </w:rPr>
        <w:t>facilitat</w:t>
      </w:r>
      <w:r>
        <w:rPr>
          <w:lang w:val="en-US"/>
        </w:rPr>
        <w:t>e</w:t>
      </w:r>
      <w:r w:rsidRPr="00910EC1">
        <w:rPr>
          <w:lang w:val="en-US"/>
        </w:rPr>
        <w:t xml:space="preserve"> a </w:t>
      </w:r>
      <w:r>
        <w:rPr>
          <w:lang w:val="en-US"/>
        </w:rPr>
        <w:t xml:space="preserve">further </w:t>
      </w:r>
      <w:r w:rsidRPr="00910EC1">
        <w:rPr>
          <w:lang w:val="en-US"/>
        </w:rPr>
        <w:t xml:space="preserve">consultation </w:t>
      </w:r>
      <w:r>
        <w:rPr>
          <w:lang w:val="en-US"/>
        </w:rPr>
        <w:t>with</w:t>
      </w:r>
      <w:r w:rsidRPr="00910EC1">
        <w:rPr>
          <w:lang w:val="en-US"/>
        </w:rPr>
        <w:t xml:space="preserve"> a lawyer</w:t>
      </w:r>
      <w:r>
        <w:rPr>
          <w:lang w:val="en-US"/>
        </w:rPr>
        <w:t xml:space="preserve"> (s.276I(4)(b)).</w:t>
      </w:r>
    </w:p>
    <w:p w14:paraId="686F1AAC" w14:textId="77777777" w:rsidR="00EF7E78" w:rsidRDefault="00EF7E78" w:rsidP="00EF7E78">
      <w:pPr>
        <w:jc w:val="both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remandee</w:t>
      </w:r>
      <w:proofErr w:type="spellEnd"/>
      <w:r>
        <w:rPr>
          <w:lang w:val="en-US"/>
        </w:rPr>
        <w:t xml:space="preserve"> may seek a review of the chief executive’s decision in the Childrens Court (s.276J). </w:t>
      </w:r>
      <w:bookmarkEnd w:id="0"/>
      <w:r>
        <w:rPr>
          <w:lang w:val="en-US"/>
        </w:rPr>
        <w:t>The young person must make the application for review within five business days of the consultation with the lawyer, or if the young person refused to consult with a lawyer, within five business days of that refusal (s276</w:t>
      </w:r>
      <w:proofErr w:type="gramStart"/>
      <w:r>
        <w:rPr>
          <w:lang w:val="en-US"/>
        </w:rPr>
        <w:t>J(</w:t>
      </w:r>
      <w:proofErr w:type="gramEnd"/>
      <w:r>
        <w:rPr>
          <w:lang w:val="en-US"/>
        </w:rPr>
        <w:t>2)).</w:t>
      </w:r>
    </w:p>
    <w:p w14:paraId="095F30AC" w14:textId="77777777" w:rsidR="00EF7E78" w:rsidRPr="00752D66" w:rsidRDefault="00EF7E78" w:rsidP="00EF7E78">
      <w:pPr>
        <w:jc w:val="both"/>
      </w:pPr>
      <w:r>
        <w:t>If a review is in progress, any transfer will be stayed until the review is finalised (s.276J(3)).</w:t>
      </w:r>
    </w:p>
    <w:p w14:paraId="23DAF773" w14:textId="77777777" w:rsidR="00EF7E78" w:rsidRDefault="00EF7E78" w:rsidP="00EF7E78">
      <w:pPr>
        <w:pStyle w:val="Heading2"/>
        <w:jc w:val="both"/>
      </w:pPr>
      <w:r>
        <w:t>Further information</w:t>
      </w:r>
    </w:p>
    <w:p w14:paraId="2253BCC3" w14:textId="77777777" w:rsidR="00EF7E78" w:rsidRPr="00C96C63" w:rsidRDefault="00EF7E78" w:rsidP="00EF7E78">
      <w:pPr>
        <w:spacing w:after="0"/>
        <w:jc w:val="both"/>
        <w:rPr>
          <w:rStyle w:val="Hyperlink"/>
        </w:rPr>
      </w:pPr>
      <w:r>
        <w:t xml:space="preserve">For </w:t>
      </w:r>
      <w:r w:rsidRPr="00C96C63">
        <w:t xml:space="preserve">further information about the </w:t>
      </w:r>
      <w:r w:rsidRPr="00C96C63">
        <w:rPr>
          <w:i/>
          <w:iCs/>
        </w:rPr>
        <w:t>Strengthening Communities Safety Act 2023</w:t>
      </w:r>
      <w:r w:rsidRPr="00C96C63">
        <w:t xml:space="preserve"> </w:t>
      </w:r>
      <w:r w:rsidRPr="00C96C63">
        <w:t xml:space="preserve">please email Youth Justice Policy, </w:t>
      </w:r>
      <w:r w:rsidRPr="00E26D2C">
        <w:rPr>
          <w:rStyle w:val="Hyperlink"/>
        </w:rPr>
        <w:t>Strategy and Legislation (YJPSL) at</w:t>
      </w:r>
    </w:p>
    <w:p w14:paraId="017D5159" w14:textId="77777777" w:rsidR="00EF7E78" w:rsidRDefault="00EF7E78" w:rsidP="00EF7E78">
      <w:pPr>
        <w:jc w:val="both"/>
        <w:rPr>
          <w:rStyle w:val="Hyperlink"/>
        </w:rPr>
      </w:pPr>
      <w:hyperlink r:id="rId17" w:history="1">
        <w:r>
          <w:rPr>
            <w:rStyle w:val="Hyperlink"/>
            <w:lang w:val="en-US"/>
          </w:rPr>
          <w:t>OSED_YJPSL@cyjma.qld.gov.au</w:t>
        </w:r>
      </w:hyperlink>
      <w:r>
        <w:rPr>
          <w:lang w:val="en-US"/>
        </w:rPr>
        <w:t xml:space="preserve">. </w:t>
      </w:r>
    </w:p>
    <w:p w14:paraId="3FA661E7" w14:textId="77777777" w:rsidR="00EF7E78" w:rsidRDefault="00EF7E78" w:rsidP="00EF7E78">
      <w:r>
        <w:t>YJPSL cannot give legal advice but may be able to assist with other questions.</w:t>
      </w:r>
    </w:p>
    <w:p w14:paraId="790D8B0A" w14:textId="74632834" w:rsidR="006E017E" w:rsidRDefault="006E017E" w:rsidP="00EF7E78">
      <w:pPr>
        <w:pStyle w:val="Heading2"/>
      </w:pPr>
    </w:p>
    <w:sectPr w:rsidR="006E017E" w:rsidSect="00F77B8F">
      <w:headerReference w:type="default" r:id="rId18"/>
      <w:footerReference w:type="default" r:id="rId19"/>
      <w:type w:val="continuous"/>
      <w:pgSz w:w="11906" w:h="16838"/>
      <w:pgMar w:top="2495" w:right="1134" w:bottom="1418" w:left="1134" w:header="709" w:footer="706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2EAA" w14:textId="77777777" w:rsidR="003F48B6" w:rsidRDefault="003F48B6">
      <w:r>
        <w:separator/>
      </w:r>
    </w:p>
  </w:endnote>
  <w:endnote w:type="continuationSeparator" w:id="0">
    <w:p w14:paraId="0A398B2C" w14:textId="77777777" w:rsidR="003F48B6" w:rsidRDefault="003F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C36" w14:textId="77777777" w:rsidR="007D0395" w:rsidRDefault="007D0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1CFC" w14:textId="77777777" w:rsidR="007D0395" w:rsidRDefault="007D0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7325" w14:textId="77777777" w:rsidR="007D0395" w:rsidRDefault="007D03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8B25" w14:textId="77777777" w:rsidR="00F77B8F" w:rsidRDefault="00F7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138C" w14:textId="77777777" w:rsidR="003F48B6" w:rsidRDefault="003F48B6">
      <w:r>
        <w:separator/>
      </w:r>
    </w:p>
  </w:footnote>
  <w:footnote w:type="continuationSeparator" w:id="0">
    <w:p w14:paraId="692607BE" w14:textId="77777777" w:rsidR="003F48B6" w:rsidRDefault="003F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CCC9" w14:textId="77777777" w:rsidR="007D0395" w:rsidRDefault="007D0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3B9608A4" w:rsidR="00B21459" w:rsidRDefault="00B3699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D661EF" wp14:editId="7383FC05">
          <wp:simplePos x="0" y="0"/>
          <wp:positionH relativeFrom="column">
            <wp:posOffset>-732447</wp:posOffset>
          </wp:positionH>
          <wp:positionV relativeFrom="paragraph">
            <wp:posOffset>-448493</wp:posOffset>
          </wp:positionV>
          <wp:extent cx="7599600" cy="10749756"/>
          <wp:effectExtent l="0" t="0" r="1905" b="0"/>
          <wp:wrapNone/>
          <wp:docPr id="2075071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4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4C40" w14:textId="77777777" w:rsidR="007D0395" w:rsidRDefault="007D03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F700" w14:textId="77777777" w:rsidR="00F77B8F" w:rsidRDefault="00F77B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DB56F" wp14:editId="2AD4BAAE">
              <wp:simplePos x="0" y="0"/>
              <wp:positionH relativeFrom="column">
                <wp:posOffset>-720090</wp:posOffset>
              </wp:positionH>
              <wp:positionV relativeFrom="paragraph">
                <wp:posOffset>-127486</wp:posOffset>
              </wp:positionV>
              <wp:extent cx="7559675" cy="362660"/>
              <wp:effectExtent l="0" t="0" r="0" b="0"/>
              <wp:wrapNone/>
              <wp:docPr id="1832701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62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FCAF9F" w14:textId="38E2B660" w:rsidR="00F77B8F" w:rsidRPr="00F77B8F" w:rsidRDefault="00F77B8F" w:rsidP="00F77B8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DB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7pt;margin-top:-10.05pt;width:595.25pt;height:28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" filled="f" stroked="f" strokeweight=".5pt">
              <v:textbox>
                <w:txbxContent>
                  <w:p w14:paraId="6FFCAF9F" w14:textId="38E2B660" w:rsidR="00F77B8F" w:rsidRPr="00F77B8F" w:rsidRDefault="00F77B8F" w:rsidP="00F77B8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7D5D2DD" wp14:editId="010737CA">
          <wp:simplePos x="0" y="0"/>
          <wp:positionH relativeFrom="column">
            <wp:posOffset>-717857</wp:posOffset>
          </wp:positionH>
          <wp:positionV relativeFrom="paragraph">
            <wp:posOffset>-435610</wp:posOffset>
          </wp:positionV>
          <wp:extent cx="7560000" cy="1285200"/>
          <wp:effectExtent l="0" t="0" r="0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77B39"/>
    <w:multiLevelType w:val="hybridMultilevel"/>
    <w:tmpl w:val="B86C953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52027">
    <w:abstractNumId w:val="0"/>
  </w:num>
  <w:num w:numId="2" w16cid:durableId="1155990301">
    <w:abstractNumId w:val="1"/>
  </w:num>
  <w:num w:numId="3" w16cid:durableId="2052804923">
    <w:abstractNumId w:val="2"/>
  </w:num>
  <w:num w:numId="4" w16cid:durableId="2085908971">
    <w:abstractNumId w:val="3"/>
  </w:num>
  <w:num w:numId="5" w16cid:durableId="284428574">
    <w:abstractNumId w:val="8"/>
  </w:num>
  <w:num w:numId="6" w16cid:durableId="396981857">
    <w:abstractNumId w:val="4"/>
  </w:num>
  <w:num w:numId="7" w16cid:durableId="85228144">
    <w:abstractNumId w:val="5"/>
  </w:num>
  <w:num w:numId="8" w16cid:durableId="1471291342">
    <w:abstractNumId w:val="6"/>
  </w:num>
  <w:num w:numId="9" w16cid:durableId="20983732">
    <w:abstractNumId w:val="7"/>
  </w:num>
  <w:num w:numId="10" w16cid:durableId="443160849">
    <w:abstractNumId w:val="9"/>
  </w:num>
  <w:num w:numId="11" w16cid:durableId="711999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48B6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3F19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37EA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17E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0ADF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6162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039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58F2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99D"/>
    <w:rsid w:val="00B36A8A"/>
    <w:rsid w:val="00B4103C"/>
    <w:rsid w:val="00B43970"/>
    <w:rsid w:val="00B45FAB"/>
    <w:rsid w:val="00B50A9A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80863"/>
    <w:rsid w:val="00B80C36"/>
    <w:rsid w:val="00B82C7E"/>
    <w:rsid w:val="00B83AE6"/>
    <w:rsid w:val="00B83E4D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66F67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6D0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7E78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77B8F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1D7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FDD1A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F58F2"/>
    <w:pPr>
      <w:snapToGrid w:val="0"/>
      <w:spacing w:before="240" w:after="36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9F58F2"/>
    <w:pPr>
      <w:spacing w:before="240" w:after="60"/>
      <w:outlineLvl w:val="1"/>
    </w:pPr>
    <w:rPr>
      <w:rFonts w:ascii="Arial Bold" w:hAnsi="Arial Bold" w:cs="Arial"/>
      <w:b/>
      <w:bCs/>
      <w:iCs/>
      <w:color w:val="F89A44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9F58F2"/>
    <w:pPr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F58F2"/>
    <w:pPr>
      <w:keepNext/>
      <w:keepLines/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9F58F2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paragraph" w:styleId="ListParagraph">
    <w:name w:val="List Paragraph"/>
    <w:basedOn w:val="Normal"/>
    <w:uiPriority w:val="72"/>
    <w:qFormat/>
    <w:rsid w:val="00EF7E78"/>
    <w:pPr>
      <w:ind w:left="720"/>
      <w:contextualSpacing/>
    </w:pPr>
  </w:style>
  <w:style w:type="character" w:styleId="Hyperlink">
    <w:name w:val="Hyperlink"/>
    <w:basedOn w:val="DefaultParagraphFont"/>
    <w:rsid w:val="00EF7E7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F7E78"/>
    <w:rPr>
      <w:rFonts w:ascii="Arial" w:hAnsi="Arial" w:cs="Arial"/>
      <w:b/>
      <w:bCs/>
      <w:color w:val="055772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OSED_YJPSL@cyjma.qld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NER3HZ3QZUNC-1648413401-222738</_dlc_DocId>
    <_dlc_DocIdUrl xmlns="dbefc7fa-1a1d-4432-8b48-0661d01a2bf9">
      <Url>https://dsitiaqld.sharepoint.com/sites/DESBT/engagement/customer-experience/communications/_layouts/15/DocIdRedir.aspx?ID=NER3HZ3QZUNC-1648413401-222738</Url>
      <Description>NER3HZ3QZUNC-1648413401-222738</Description>
    </_dlc_DocIdUrl>
  </documentManagement>
</p:properties>
</file>

<file path=customXml/itemProps1.xml><?xml version="1.0" encoding="utf-8"?>
<ds:datastoreItem xmlns:ds="http://schemas.openxmlformats.org/officeDocument/2006/customXml" ds:itemID="{D90EA086-3FCE-4EAD-9735-FC8E479D0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36337-0DA6-4EF4-9CA3-00B265EEFF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AB30C0-341D-4F25-A1BF-CA6BA9214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E02C5-FF20-483F-945A-D4C9A257AC0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6fbbf639-a96b-4cb5-b890-7fc984a8433e"/>
    <ds:schemaRef ds:uri="c5cd0b95-ad48-469c-b60b-2c41487abb3e"/>
    <ds:schemaRef ds:uri="dbefc7fa-1a1d-4432-8b48-0661d01a2bf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4806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DCCSDS Fact Sheet portrait A4 blue</dc:title>
  <dc:subject>online templates</dc:subject>
  <dc:creator>Communications Services</dc:creator>
  <cp:keywords>fact sheet, template, A4, portrait, blue, 2 columns</cp:keywords>
  <dc:description/>
  <cp:lastModifiedBy>Katharine Tilston</cp:lastModifiedBy>
  <cp:revision>2</cp:revision>
  <dcterms:created xsi:type="dcterms:W3CDTF">2024-05-17T02:23:00Z</dcterms:created>
  <dcterms:modified xsi:type="dcterms:W3CDTF">2024-05-17T02:23:00Z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6df54f86-94d6-4f1e-a124-ac34d3172e5a</vt:lpwstr>
  </property>
</Properties>
</file>