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533BA" w14:textId="250FD0EE" w:rsidR="00D3192F" w:rsidRPr="00A53C4E" w:rsidRDefault="00C72D79" w:rsidP="00E4415B">
      <w:pPr>
        <w:rPr>
          <w:rFonts w:ascii="Arial" w:hAnsi="Arial" w:cs="Arial"/>
          <w:b/>
          <w:sz w:val="28"/>
          <w:szCs w:val="28"/>
        </w:rPr>
      </w:pPr>
      <w:r w:rsidRPr="00A53C4E">
        <w:rPr>
          <w:rFonts w:ascii="Arial" w:eastAsia="Times New Roman" w:hAnsi="Arial" w:cs="Arial"/>
          <w:b/>
          <w:i/>
          <w:noProof/>
          <w:color w:val="2F5496"/>
        </w:rPr>
        <w:drawing>
          <wp:inline distT="0" distB="0" distL="0" distR="0" wp14:anchorId="3EF62507" wp14:editId="05EFAD91">
            <wp:extent cx="5731510" cy="104140"/>
            <wp:effectExtent l="0" t="0" r="2540" b="0"/>
            <wp:docPr id="3" name="Picture 2">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ED993C-F87D-6A4C-82C3-CAFC8D01DD46}"/>
                        </a:ext>
                      </a:extLst>
                    </pic:cNvPr>
                    <pic:cNvPicPr>
                      <a:picLocks noChangeAspect="1"/>
                    </pic:cNvPicPr>
                  </pic:nvPicPr>
                  <pic:blipFill rotWithShape="1">
                    <a:blip r:embed="rId8"/>
                    <a:srcRect t="11694" r="1686" b="85900"/>
                    <a:stretch/>
                  </pic:blipFill>
                  <pic:spPr>
                    <a:xfrm>
                      <a:off x="0" y="0"/>
                      <a:ext cx="5731510" cy="104140"/>
                    </a:xfrm>
                    <a:prstGeom prst="rect">
                      <a:avLst/>
                    </a:prstGeom>
                  </pic:spPr>
                </pic:pic>
              </a:graphicData>
            </a:graphic>
          </wp:inline>
        </w:drawing>
      </w:r>
    </w:p>
    <w:p w14:paraId="68DEA0D0" w14:textId="1B70BDCA" w:rsidR="00DD7078" w:rsidRPr="00E62BD6" w:rsidRDefault="00DD7078" w:rsidP="00DD7078">
      <w:pPr>
        <w:pStyle w:val="Heading1"/>
        <w:spacing w:after="240"/>
        <w:rPr>
          <w:rFonts w:ascii="Arial" w:hAnsi="Arial" w:cs="Arial"/>
          <w:b/>
        </w:rPr>
      </w:pPr>
      <w:r>
        <w:rPr>
          <w:rFonts w:ascii="Arial" w:hAnsi="Arial" w:cs="Arial"/>
          <w:b/>
        </w:rPr>
        <w:t>Agency commitments for 2022-24</w:t>
      </w:r>
    </w:p>
    <w:p w14:paraId="3FCC415A" w14:textId="77777777" w:rsidR="00DD7078" w:rsidRDefault="00DD7078" w:rsidP="00DD7078">
      <w:pPr>
        <w:spacing w:after="0" w:line="240" w:lineRule="auto"/>
        <w:jc w:val="both"/>
        <w:rPr>
          <w:rFonts w:ascii="Arial" w:hAnsi="Arial" w:cs="Arial"/>
          <w:sz w:val="20"/>
          <w:szCs w:val="20"/>
        </w:rPr>
      </w:pPr>
      <w:r>
        <w:rPr>
          <w:rFonts w:ascii="Arial" w:hAnsi="Arial" w:cs="Arial"/>
          <w:sz w:val="20"/>
          <w:szCs w:val="20"/>
        </w:rPr>
        <w:t xml:space="preserve">Each agency has committed to undertaking activities in one or more of the Action Plan’s six Key Action Areas. The table below indicates which of the Key Action Areas your agency has committed to and will therefore be required to report on in this template. </w:t>
      </w:r>
    </w:p>
    <w:p w14:paraId="19F3E1DB" w14:textId="77777777" w:rsidR="00DD7078" w:rsidRDefault="00DD7078" w:rsidP="00DD7078">
      <w:pPr>
        <w:spacing w:after="0" w:line="240" w:lineRule="auto"/>
        <w:jc w:val="both"/>
        <w:rPr>
          <w:rFonts w:ascii="Arial" w:hAnsi="Arial" w:cs="Arial"/>
          <w:sz w:val="20"/>
          <w:szCs w:val="20"/>
        </w:rPr>
      </w:pPr>
    </w:p>
    <w:p w14:paraId="3C2C3EF6" w14:textId="77777777" w:rsidR="00DD7078" w:rsidRPr="00F57859" w:rsidRDefault="00DD7078" w:rsidP="00DD7078">
      <w:pPr>
        <w:spacing w:after="0" w:line="240" w:lineRule="auto"/>
        <w:jc w:val="both"/>
        <w:rPr>
          <w:rFonts w:ascii="Arial" w:hAnsi="Arial" w:cs="Arial"/>
          <w:i/>
          <w:iCs/>
          <w:sz w:val="20"/>
          <w:szCs w:val="20"/>
        </w:rPr>
      </w:pPr>
      <w:r w:rsidRPr="00F57859">
        <w:rPr>
          <w:rFonts w:ascii="Arial" w:hAnsi="Arial" w:cs="Arial"/>
          <w:i/>
          <w:iCs/>
          <w:sz w:val="20"/>
          <w:szCs w:val="20"/>
        </w:rPr>
        <w:t xml:space="preserve">Note this table has been updated </w:t>
      </w:r>
      <w:r w:rsidRPr="00C00CA9">
        <w:rPr>
          <w:rFonts w:ascii="Arial" w:hAnsi="Arial" w:cs="Arial"/>
          <w:i/>
          <w:iCs/>
          <w:sz w:val="20"/>
          <w:szCs w:val="20"/>
        </w:rPr>
        <w:t>from the version on page 14 of the Action Plan to reflect the recent machinery of government</w:t>
      </w:r>
      <w:r>
        <w:rPr>
          <w:rFonts w:ascii="Arial" w:hAnsi="Arial" w:cs="Arial"/>
          <w:i/>
          <w:iCs/>
          <w:sz w:val="20"/>
          <w:szCs w:val="20"/>
        </w:rPr>
        <w:t xml:space="preserve"> (MOG)</w:t>
      </w:r>
      <w:r w:rsidRPr="00C00CA9">
        <w:rPr>
          <w:rFonts w:ascii="Arial" w:hAnsi="Arial" w:cs="Arial"/>
          <w:i/>
          <w:iCs/>
          <w:sz w:val="20"/>
          <w:szCs w:val="20"/>
        </w:rPr>
        <w:t xml:space="preserve"> changes.</w:t>
      </w:r>
      <w:r w:rsidRPr="00C00CA9">
        <w:rPr>
          <w:rStyle w:val="FootnoteReference"/>
          <w:rFonts w:ascii="Arial" w:hAnsi="Arial" w:cs="Arial"/>
          <w:i/>
          <w:iCs/>
          <w:sz w:val="20"/>
          <w:szCs w:val="20"/>
        </w:rPr>
        <w:footnoteReference w:id="1"/>
      </w:r>
      <w:bookmarkStart w:id="0" w:name="_Hlk136860002"/>
      <w:r w:rsidRPr="00F57859">
        <w:rPr>
          <w:rFonts w:ascii="Arial" w:hAnsi="Arial" w:cs="Arial"/>
          <w:i/>
          <w:iCs/>
          <w:sz w:val="20"/>
          <w:szCs w:val="20"/>
        </w:rPr>
        <w:t xml:space="preserve"> </w:t>
      </w:r>
    </w:p>
    <w:tbl>
      <w:tblPr>
        <w:tblStyle w:val="TableGrid"/>
        <w:tblW w:w="5000" w:type="pct"/>
        <w:tblLook w:val="04A0" w:firstRow="1" w:lastRow="0" w:firstColumn="1" w:lastColumn="0" w:noHBand="0" w:noVBand="1"/>
      </w:tblPr>
      <w:tblGrid>
        <w:gridCol w:w="1589"/>
        <w:gridCol w:w="1305"/>
        <w:gridCol w:w="1303"/>
        <w:gridCol w:w="1303"/>
        <w:gridCol w:w="1303"/>
        <w:gridCol w:w="1303"/>
        <w:gridCol w:w="1216"/>
      </w:tblGrid>
      <w:tr w:rsidR="00DD7078" w:rsidRPr="005A08BF" w14:paraId="42D81660" w14:textId="77777777" w:rsidTr="00C37736">
        <w:trPr>
          <w:trHeight w:hRule="exact" w:val="235"/>
        </w:trPr>
        <w:tc>
          <w:tcPr>
            <w:tcW w:w="852" w:type="pct"/>
            <w:tcBorders>
              <w:bottom w:val="single" w:sz="4" w:space="0" w:color="auto"/>
            </w:tcBorders>
            <w:vAlign w:val="center"/>
          </w:tcPr>
          <w:p w14:paraId="08784A3F" w14:textId="77777777" w:rsidR="00DD7078" w:rsidRPr="00FB5CEA" w:rsidRDefault="00DD7078" w:rsidP="00C37736">
            <w:pPr>
              <w:jc w:val="center"/>
              <w:rPr>
                <w:rFonts w:cs="Arial"/>
                <w:b/>
                <w:bCs/>
                <w:sz w:val="18"/>
                <w:szCs w:val="18"/>
              </w:rPr>
            </w:pPr>
            <w:r w:rsidRPr="00FB5CEA">
              <w:rPr>
                <w:rFonts w:cs="Arial"/>
                <w:b/>
                <w:bCs/>
                <w:sz w:val="18"/>
                <w:szCs w:val="18"/>
              </w:rPr>
              <w:t>Agency</w:t>
            </w:r>
          </w:p>
        </w:tc>
        <w:tc>
          <w:tcPr>
            <w:tcW w:w="700" w:type="pct"/>
            <w:tcBorders>
              <w:bottom w:val="single" w:sz="4" w:space="0" w:color="auto"/>
            </w:tcBorders>
            <w:vAlign w:val="center"/>
          </w:tcPr>
          <w:p w14:paraId="09C5156D" w14:textId="77777777" w:rsidR="00DD7078" w:rsidRPr="00FB5CEA" w:rsidRDefault="00DD7078" w:rsidP="00C37736">
            <w:pPr>
              <w:jc w:val="center"/>
              <w:rPr>
                <w:rFonts w:cs="Arial"/>
                <w:b/>
                <w:bCs/>
                <w:color w:val="00B050"/>
                <w:sz w:val="18"/>
                <w:szCs w:val="18"/>
              </w:rPr>
            </w:pPr>
            <w:r w:rsidRPr="00FB5CEA">
              <w:rPr>
                <w:rFonts w:cs="Arial"/>
                <w:b/>
                <w:bCs/>
                <w:color w:val="FF00FF"/>
                <w:sz w:val="18"/>
                <w:szCs w:val="18"/>
              </w:rPr>
              <w:t>Key action 1</w:t>
            </w:r>
          </w:p>
        </w:tc>
        <w:tc>
          <w:tcPr>
            <w:tcW w:w="699" w:type="pct"/>
            <w:tcBorders>
              <w:bottom w:val="single" w:sz="4" w:space="0" w:color="auto"/>
            </w:tcBorders>
            <w:vAlign w:val="center"/>
          </w:tcPr>
          <w:p w14:paraId="68D3B576" w14:textId="77777777" w:rsidR="00DD7078" w:rsidRPr="00FB5CEA" w:rsidRDefault="00DD7078" w:rsidP="00C37736">
            <w:pPr>
              <w:jc w:val="center"/>
              <w:rPr>
                <w:rFonts w:cs="Arial"/>
                <w:b/>
                <w:bCs/>
                <w:color w:val="00B050"/>
                <w:sz w:val="18"/>
                <w:szCs w:val="18"/>
              </w:rPr>
            </w:pPr>
            <w:r w:rsidRPr="00FB5CEA">
              <w:rPr>
                <w:rFonts w:cs="Arial"/>
                <w:b/>
                <w:bCs/>
                <w:color w:val="C00000"/>
                <w:sz w:val="18"/>
                <w:szCs w:val="18"/>
              </w:rPr>
              <w:t>Key action 2</w:t>
            </w:r>
          </w:p>
        </w:tc>
        <w:tc>
          <w:tcPr>
            <w:tcW w:w="699" w:type="pct"/>
            <w:tcBorders>
              <w:bottom w:val="single" w:sz="4" w:space="0" w:color="auto"/>
            </w:tcBorders>
            <w:vAlign w:val="center"/>
          </w:tcPr>
          <w:p w14:paraId="1CE558EB" w14:textId="77777777" w:rsidR="00DD7078" w:rsidRPr="00FB5CEA" w:rsidRDefault="00DD7078" w:rsidP="00C37736">
            <w:pPr>
              <w:jc w:val="center"/>
              <w:rPr>
                <w:rFonts w:cs="Arial"/>
                <w:b/>
                <w:bCs/>
                <w:color w:val="00B050"/>
                <w:sz w:val="18"/>
                <w:szCs w:val="18"/>
              </w:rPr>
            </w:pPr>
            <w:r w:rsidRPr="00FB5CEA">
              <w:rPr>
                <w:rFonts w:cs="Arial"/>
                <w:b/>
                <w:bCs/>
                <w:color w:val="00B050"/>
                <w:sz w:val="18"/>
                <w:szCs w:val="18"/>
              </w:rPr>
              <w:t>Key action 3</w:t>
            </w:r>
          </w:p>
        </w:tc>
        <w:tc>
          <w:tcPr>
            <w:tcW w:w="699" w:type="pct"/>
            <w:tcBorders>
              <w:bottom w:val="single" w:sz="4" w:space="0" w:color="auto"/>
            </w:tcBorders>
            <w:vAlign w:val="center"/>
          </w:tcPr>
          <w:p w14:paraId="2590FC2D" w14:textId="77777777" w:rsidR="00DD7078" w:rsidRPr="00FB5CEA" w:rsidRDefault="00DD7078" w:rsidP="00C37736">
            <w:pPr>
              <w:jc w:val="center"/>
              <w:rPr>
                <w:rFonts w:cs="Arial"/>
                <w:b/>
                <w:bCs/>
                <w:color w:val="00B050"/>
                <w:sz w:val="18"/>
                <w:szCs w:val="18"/>
              </w:rPr>
            </w:pPr>
            <w:r w:rsidRPr="00FB5CEA">
              <w:rPr>
                <w:rFonts w:cs="Arial"/>
                <w:b/>
                <w:bCs/>
                <w:color w:val="00B0F0"/>
                <w:sz w:val="18"/>
                <w:szCs w:val="18"/>
              </w:rPr>
              <w:t>Key action 4</w:t>
            </w:r>
          </w:p>
        </w:tc>
        <w:tc>
          <w:tcPr>
            <w:tcW w:w="699" w:type="pct"/>
            <w:tcBorders>
              <w:bottom w:val="single" w:sz="4" w:space="0" w:color="auto"/>
            </w:tcBorders>
            <w:vAlign w:val="center"/>
          </w:tcPr>
          <w:p w14:paraId="462704CB" w14:textId="77777777" w:rsidR="00DD7078" w:rsidRPr="00FB5CEA" w:rsidRDefault="00DD7078" w:rsidP="00C37736">
            <w:pPr>
              <w:jc w:val="center"/>
              <w:rPr>
                <w:rFonts w:cs="Arial"/>
                <w:b/>
                <w:bCs/>
                <w:color w:val="00B050"/>
                <w:sz w:val="18"/>
                <w:szCs w:val="18"/>
              </w:rPr>
            </w:pPr>
            <w:r w:rsidRPr="00FB5CEA">
              <w:rPr>
                <w:rFonts w:cs="Arial"/>
                <w:b/>
                <w:bCs/>
                <w:sz w:val="18"/>
                <w:szCs w:val="18"/>
              </w:rPr>
              <w:t xml:space="preserve"> </w:t>
            </w:r>
            <w:r w:rsidRPr="00FB5CEA">
              <w:rPr>
                <w:rFonts w:cs="Arial"/>
                <w:b/>
                <w:bCs/>
                <w:color w:val="7030A0"/>
                <w:sz w:val="18"/>
                <w:szCs w:val="18"/>
              </w:rPr>
              <w:t>Key action 5</w:t>
            </w:r>
          </w:p>
        </w:tc>
        <w:tc>
          <w:tcPr>
            <w:tcW w:w="652" w:type="pct"/>
            <w:tcBorders>
              <w:bottom w:val="single" w:sz="4" w:space="0" w:color="auto"/>
            </w:tcBorders>
            <w:vAlign w:val="center"/>
          </w:tcPr>
          <w:p w14:paraId="61EFAD4C" w14:textId="77777777" w:rsidR="00DD7078" w:rsidRPr="00FB5CEA" w:rsidRDefault="00DD7078" w:rsidP="00C37736">
            <w:pPr>
              <w:jc w:val="center"/>
              <w:rPr>
                <w:rFonts w:cs="Arial"/>
                <w:b/>
                <w:bCs/>
                <w:sz w:val="18"/>
                <w:szCs w:val="18"/>
              </w:rPr>
            </w:pPr>
            <w:r w:rsidRPr="00FB5CEA">
              <w:rPr>
                <w:rFonts w:cs="Arial"/>
                <w:b/>
                <w:bCs/>
                <w:color w:val="FFC000"/>
                <w:sz w:val="18"/>
                <w:szCs w:val="18"/>
              </w:rPr>
              <w:t>Key action 6</w:t>
            </w:r>
          </w:p>
        </w:tc>
      </w:tr>
      <w:tr w:rsidR="00DD7078" w14:paraId="5BC66ED7" w14:textId="77777777" w:rsidTr="00C37736">
        <w:trPr>
          <w:trHeight w:hRule="exact" w:val="369"/>
        </w:trPr>
        <w:tc>
          <w:tcPr>
            <w:tcW w:w="852" w:type="pct"/>
            <w:vAlign w:val="center"/>
          </w:tcPr>
          <w:p w14:paraId="76DF2B93" w14:textId="77777777" w:rsidR="00DD7078" w:rsidRPr="00066E18" w:rsidRDefault="00DD7078" w:rsidP="00C37736">
            <w:pPr>
              <w:spacing w:before="60" w:after="60"/>
              <w:rPr>
                <w:rFonts w:cs="Arial"/>
                <w:b/>
                <w:bCs/>
                <w:sz w:val="16"/>
                <w:szCs w:val="16"/>
              </w:rPr>
            </w:pPr>
            <w:r w:rsidRPr="00066E18">
              <w:rPr>
                <w:rFonts w:cs="Arial"/>
                <w:b/>
                <w:bCs/>
                <w:sz w:val="16"/>
                <w:szCs w:val="16"/>
              </w:rPr>
              <w:t>DE</w:t>
            </w:r>
            <w:r>
              <w:rPr>
                <w:rFonts w:cs="Arial"/>
                <w:b/>
                <w:bCs/>
                <w:sz w:val="16"/>
                <w:szCs w:val="16"/>
              </w:rPr>
              <w:t>C</w:t>
            </w:r>
          </w:p>
        </w:tc>
        <w:tc>
          <w:tcPr>
            <w:tcW w:w="700" w:type="pct"/>
            <w:vAlign w:val="center"/>
          </w:tcPr>
          <w:p w14:paraId="6A97AA46" w14:textId="77777777" w:rsidR="00DD7078" w:rsidRPr="00066E18" w:rsidRDefault="00DD7078" w:rsidP="00C37736">
            <w:pPr>
              <w:jc w:val="center"/>
              <w:rPr>
                <w:rFont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576C33A4" w14:textId="77777777" w:rsidR="00DD7078" w:rsidRPr="00066E18" w:rsidRDefault="00DD7078" w:rsidP="00C37736">
            <w:pPr>
              <w:jc w:val="center"/>
              <w:rPr>
                <w:rFont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D061037" w14:textId="77777777" w:rsidR="00DD7078" w:rsidRPr="00066E18" w:rsidRDefault="00DD7078" w:rsidP="00C37736">
            <w:pPr>
              <w:jc w:val="center"/>
              <w:rPr>
                <w:rFonts w:cs="Arial"/>
                <w:b/>
                <w:bCs/>
                <w:color w:val="00B050"/>
                <w:sz w:val="32"/>
                <w:szCs w:val="32"/>
              </w:rPr>
            </w:pPr>
          </w:p>
        </w:tc>
        <w:tc>
          <w:tcPr>
            <w:tcW w:w="699" w:type="pct"/>
            <w:vAlign w:val="center"/>
          </w:tcPr>
          <w:p w14:paraId="1CA8EE91" w14:textId="77777777" w:rsidR="00DD7078" w:rsidRPr="00066E18" w:rsidRDefault="00DD7078" w:rsidP="00C37736">
            <w:pPr>
              <w:jc w:val="center"/>
              <w:rPr>
                <w:rFonts w:cs="Arial"/>
                <w:b/>
                <w:bCs/>
                <w:color w:val="00B050"/>
                <w:sz w:val="32"/>
                <w:szCs w:val="32"/>
              </w:rPr>
            </w:pPr>
          </w:p>
        </w:tc>
        <w:tc>
          <w:tcPr>
            <w:tcW w:w="699" w:type="pct"/>
            <w:vAlign w:val="center"/>
          </w:tcPr>
          <w:p w14:paraId="17D4E966" w14:textId="77777777" w:rsidR="00DD7078" w:rsidRPr="00066E18" w:rsidRDefault="00DD7078" w:rsidP="00C37736">
            <w:pPr>
              <w:jc w:val="center"/>
              <w:rPr>
                <w:rFont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E0AB4C9" w14:textId="77777777" w:rsidR="00DD7078" w:rsidRPr="00066E18" w:rsidRDefault="00DD7078" w:rsidP="00C37736">
            <w:pPr>
              <w:jc w:val="center"/>
              <w:rPr>
                <w:rFonts w:cs="Arial"/>
                <w:color w:val="FFC000"/>
              </w:rPr>
            </w:pPr>
            <w:r w:rsidRPr="00066E18">
              <w:rPr>
                <w:rFonts w:ascii="Wingdings" w:hAnsi="Wingdings" w:cs="Arial"/>
                <w:b/>
                <w:bCs/>
                <w:color w:val="FFC000"/>
                <w:sz w:val="32"/>
                <w:szCs w:val="32"/>
              </w:rPr>
              <w:sym w:font="Wingdings" w:char="F06C"/>
            </w:r>
          </w:p>
        </w:tc>
      </w:tr>
      <w:tr w:rsidR="00DD7078" w14:paraId="47B83A43" w14:textId="77777777" w:rsidTr="00C37736">
        <w:trPr>
          <w:trHeight w:hRule="exact" w:val="359"/>
        </w:trPr>
        <w:tc>
          <w:tcPr>
            <w:tcW w:w="852" w:type="pct"/>
            <w:tcBorders>
              <w:bottom w:val="single" w:sz="4" w:space="0" w:color="auto"/>
            </w:tcBorders>
            <w:vAlign w:val="center"/>
          </w:tcPr>
          <w:p w14:paraId="6697168E" w14:textId="77777777" w:rsidR="00DD7078" w:rsidRPr="00066E18" w:rsidRDefault="00DD7078" w:rsidP="00C37736">
            <w:pPr>
              <w:spacing w:before="60" w:after="60"/>
              <w:rPr>
                <w:rFonts w:cs="Arial"/>
                <w:b/>
                <w:bCs/>
                <w:sz w:val="16"/>
                <w:szCs w:val="16"/>
              </w:rPr>
            </w:pPr>
            <w:proofErr w:type="spellStart"/>
            <w:r w:rsidRPr="00066E18">
              <w:rPr>
                <w:rFonts w:cs="Arial"/>
                <w:b/>
                <w:bCs/>
                <w:sz w:val="16"/>
                <w:szCs w:val="16"/>
              </w:rPr>
              <w:t>DoR</w:t>
            </w:r>
            <w:proofErr w:type="spellEnd"/>
          </w:p>
        </w:tc>
        <w:tc>
          <w:tcPr>
            <w:tcW w:w="700" w:type="pct"/>
            <w:tcBorders>
              <w:bottom w:val="single" w:sz="4" w:space="0" w:color="auto"/>
            </w:tcBorders>
            <w:vAlign w:val="center"/>
          </w:tcPr>
          <w:p w14:paraId="4D49275E" w14:textId="77777777" w:rsidR="00DD7078" w:rsidRPr="00066E18" w:rsidRDefault="00DD7078" w:rsidP="00C37736">
            <w:pPr>
              <w:jc w:val="center"/>
              <w:rPr>
                <w:rFonts w:cs="Arial"/>
                <w:color w:val="00B050"/>
              </w:rPr>
            </w:pPr>
            <w:r w:rsidRPr="00066E18">
              <w:rPr>
                <w:rFonts w:ascii="Wingdings" w:hAnsi="Wingdings" w:cs="Arial"/>
                <w:b/>
                <w:bCs/>
                <w:color w:val="FF00FF"/>
                <w:sz w:val="32"/>
                <w:szCs w:val="32"/>
              </w:rPr>
              <w:sym w:font="Wingdings" w:char="F06C"/>
            </w:r>
          </w:p>
        </w:tc>
        <w:tc>
          <w:tcPr>
            <w:tcW w:w="699" w:type="pct"/>
            <w:tcBorders>
              <w:bottom w:val="single" w:sz="4" w:space="0" w:color="auto"/>
            </w:tcBorders>
            <w:vAlign w:val="center"/>
          </w:tcPr>
          <w:p w14:paraId="0A781C91" w14:textId="77777777" w:rsidR="00DD7078" w:rsidRPr="00066E18" w:rsidRDefault="00DD7078"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tcBorders>
              <w:bottom w:val="single" w:sz="4" w:space="0" w:color="auto"/>
            </w:tcBorders>
            <w:vAlign w:val="center"/>
          </w:tcPr>
          <w:p w14:paraId="3CEC8ADE" w14:textId="77777777" w:rsidR="00DD7078" w:rsidRPr="00066E18" w:rsidRDefault="00DD7078" w:rsidP="00C37736">
            <w:pPr>
              <w:jc w:val="center"/>
              <w:rPr>
                <w:rFonts w:cs="Arial"/>
                <w:color w:val="00B050"/>
              </w:rPr>
            </w:pPr>
          </w:p>
        </w:tc>
        <w:tc>
          <w:tcPr>
            <w:tcW w:w="699" w:type="pct"/>
            <w:tcBorders>
              <w:bottom w:val="single" w:sz="4" w:space="0" w:color="auto"/>
            </w:tcBorders>
            <w:vAlign w:val="center"/>
          </w:tcPr>
          <w:p w14:paraId="59983639" w14:textId="77777777" w:rsidR="00DD7078" w:rsidRPr="00066E18" w:rsidRDefault="00DD7078" w:rsidP="00C37736">
            <w:pPr>
              <w:jc w:val="center"/>
              <w:rPr>
                <w:rFonts w:cs="Arial"/>
                <w:color w:val="00B050"/>
              </w:rPr>
            </w:pPr>
          </w:p>
        </w:tc>
        <w:tc>
          <w:tcPr>
            <w:tcW w:w="699" w:type="pct"/>
            <w:tcBorders>
              <w:bottom w:val="single" w:sz="4" w:space="0" w:color="auto"/>
            </w:tcBorders>
            <w:vAlign w:val="center"/>
          </w:tcPr>
          <w:p w14:paraId="3F64FECD" w14:textId="77777777" w:rsidR="00DD7078" w:rsidRPr="00066E18" w:rsidRDefault="00DD7078"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tcBorders>
              <w:bottom w:val="single" w:sz="4" w:space="0" w:color="auto"/>
            </w:tcBorders>
            <w:vAlign w:val="center"/>
          </w:tcPr>
          <w:p w14:paraId="208FCD00" w14:textId="77777777" w:rsidR="00DD7078" w:rsidRPr="00066E18" w:rsidRDefault="00DD7078" w:rsidP="00C37736">
            <w:pPr>
              <w:jc w:val="center"/>
              <w:rPr>
                <w:rFonts w:cs="Arial"/>
                <w:color w:val="FFC000"/>
              </w:rPr>
            </w:pPr>
            <w:r w:rsidRPr="00066E18">
              <w:rPr>
                <w:rFonts w:ascii="Wingdings" w:hAnsi="Wingdings" w:cs="Arial"/>
                <w:b/>
                <w:bCs/>
                <w:color w:val="FFC000"/>
                <w:sz w:val="32"/>
                <w:szCs w:val="32"/>
              </w:rPr>
              <w:sym w:font="Wingdings" w:char="F06C"/>
            </w:r>
          </w:p>
        </w:tc>
      </w:tr>
      <w:tr w:rsidR="00DD7078" w14:paraId="2A5666EE" w14:textId="77777777" w:rsidTr="00C37736">
        <w:trPr>
          <w:trHeight w:hRule="exact" w:val="369"/>
        </w:trPr>
        <w:tc>
          <w:tcPr>
            <w:tcW w:w="852" w:type="pct"/>
            <w:vAlign w:val="center"/>
          </w:tcPr>
          <w:p w14:paraId="019FFE33" w14:textId="77777777" w:rsidR="00DD7078" w:rsidRPr="00066E18" w:rsidRDefault="00DD7078" w:rsidP="00C37736">
            <w:pPr>
              <w:spacing w:before="60" w:after="60"/>
              <w:rPr>
                <w:rFonts w:cs="Arial"/>
                <w:b/>
                <w:bCs/>
                <w:sz w:val="16"/>
                <w:szCs w:val="16"/>
              </w:rPr>
            </w:pPr>
            <w:r w:rsidRPr="00066E18">
              <w:rPr>
                <w:rFonts w:cs="Arial"/>
                <w:b/>
                <w:bCs/>
                <w:sz w:val="16"/>
                <w:szCs w:val="16"/>
              </w:rPr>
              <w:t>DSDI</w:t>
            </w:r>
          </w:p>
        </w:tc>
        <w:tc>
          <w:tcPr>
            <w:tcW w:w="700" w:type="pct"/>
            <w:vAlign w:val="center"/>
          </w:tcPr>
          <w:p w14:paraId="71E7A68B" w14:textId="77777777" w:rsidR="00DD7078" w:rsidRPr="00066E18" w:rsidRDefault="00DD7078" w:rsidP="00C37736">
            <w:pPr>
              <w:jc w:val="center"/>
              <w:rPr>
                <w:rFonts w:cs="Arial"/>
                <w:color w:val="00B050"/>
              </w:rPr>
            </w:pPr>
            <w:r w:rsidRPr="00066E18">
              <w:rPr>
                <w:rFonts w:ascii="Wingdings" w:hAnsi="Wingdings" w:cs="Arial"/>
                <w:b/>
                <w:bCs/>
                <w:color w:val="FF00FF"/>
                <w:sz w:val="32"/>
                <w:szCs w:val="32"/>
              </w:rPr>
              <w:sym w:font="Wingdings" w:char="F06C"/>
            </w:r>
          </w:p>
        </w:tc>
        <w:tc>
          <w:tcPr>
            <w:tcW w:w="699" w:type="pct"/>
            <w:vAlign w:val="center"/>
          </w:tcPr>
          <w:p w14:paraId="5EED0F4B" w14:textId="77777777" w:rsidR="00DD7078" w:rsidRPr="00066E18" w:rsidRDefault="00DD7078"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47708BBC" w14:textId="77777777" w:rsidR="00DD7078" w:rsidRPr="00066E18" w:rsidRDefault="00DD7078" w:rsidP="00C37736">
            <w:pPr>
              <w:jc w:val="center"/>
              <w:rPr>
                <w:rFonts w:cs="Arial"/>
                <w:color w:val="00B050"/>
              </w:rPr>
            </w:pPr>
          </w:p>
        </w:tc>
        <w:tc>
          <w:tcPr>
            <w:tcW w:w="699" w:type="pct"/>
            <w:vAlign w:val="center"/>
          </w:tcPr>
          <w:p w14:paraId="43AD7CD2" w14:textId="77777777" w:rsidR="00DD7078" w:rsidRPr="00066E18" w:rsidRDefault="00DD7078" w:rsidP="00C37736">
            <w:pPr>
              <w:jc w:val="center"/>
              <w:rPr>
                <w:rFonts w:cs="Arial"/>
                <w:color w:val="00B050"/>
              </w:rPr>
            </w:pPr>
          </w:p>
        </w:tc>
        <w:tc>
          <w:tcPr>
            <w:tcW w:w="699" w:type="pct"/>
            <w:vAlign w:val="center"/>
          </w:tcPr>
          <w:p w14:paraId="719A4FBD" w14:textId="77777777" w:rsidR="00DD7078" w:rsidRPr="00066E18" w:rsidRDefault="00DD7078"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vAlign w:val="center"/>
          </w:tcPr>
          <w:p w14:paraId="47F2027E" w14:textId="77777777" w:rsidR="00DD7078" w:rsidRPr="00066E18" w:rsidRDefault="00DD7078" w:rsidP="00C37736">
            <w:pPr>
              <w:jc w:val="center"/>
              <w:rPr>
                <w:rFonts w:cs="Arial"/>
                <w:color w:val="FFC000"/>
              </w:rPr>
            </w:pPr>
            <w:r w:rsidRPr="00066E18">
              <w:rPr>
                <w:rFonts w:ascii="Wingdings" w:hAnsi="Wingdings" w:cs="Arial"/>
                <w:b/>
                <w:bCs/>
                <w:color w:val="FFC000"/>
                <w:sz w:val="32"/>
                <w:szCs w:val="32"/>
              </w:rPr>
              <w:sym w:font="Wingdings" w:char="F06C"/>
            </w:r>
          </w:p>
        </w:tc>
      </w:tr>
      <w:tr w:rsidR="00DD7078" w14:paraId="446E53BB" w14:textId="77777777" w:rsidTr="00C37736">
        <w:trPr>
          <w:trHeight w:hRule="exact" w:val="341"/>
        </w:trPr>
        <w:tc>
          <w:tcPr>
            <w:tcW w:w="852" w:type="pct"/>
            <w:vAlign w:val="center"/>
          </w:tcPr>
          <w:p w14:paraId="4FB7730E" w14:textId="77777777" w:rsidR="00DD7078" w:rsidRPr="00066E18" w:rsidRDefault="00DD7078" w:rsidP="00C37736">
            <w:pPr>
              <w:spacing w:before="60" w:after="60"/>
              <w:rPr>
                <w:rFonts w:cs="Arial"/>
                <w:b/>
                <w:bCs/>
                <w:sz w:val="16"/>
                <w:szCs w:val="16"/>
              </w:rPr>
            </w:pPr>
            <w:r w:rsidRPr="00C72B64">
              <w:rPr>
                <w:rFonts w:cs="Arial"/>
                <w:b/>
                <w:bCs/>
                <w:sz w:val="16"/>
                <w:szCs w:val="16"/>
              </w:rPr>
              <w:t>DRDMW</w:t>
            </w:r>
          </w:p>
        </w:tc>
        <w:tc>
          <w:tcPr>
            <w:tcW w:w="700" w:type="pct"/>
            <w:vAlign w:val="center"/>
          </w:tcPr>
          <w:p w14:paraId="4BC5BB93" w14:textId="77777777" w:rsidR="00DD7078" w:rsidRPr="00066E18" w:rsidRDefault="00DD7078" w:rsidP="00C37736">
            <w:pPr>
              <w:jc w:val="center"/>
              <w:rPr>
                <w:rFonts w:cs="Arial"/>
                <w:color w:val="00B050"/>
                <w:sz w:val="16"/>
                <w:szCs w:val="16"/>
              </w:rPr>
            </w:pPr>
          </w:p>
        </w:tc>
        <w:tc>
          <w:tcPr>
            <w:tcW w:w="699" w:type="pct"/>
            <w:vAlign w:val="center"/>
          </w:tcPr>
          <w:p w14:paraId="7BB9C7EC" w14:textId="77777777" w:rsidR="00DD7078" w:rsidRPr="00066E18" w:rsidRDefault="00DD7078" w:rsidP="00C37736">
            <w:pPr>
              <w:jc w:val="center"/>
              <w:rPr>
                <w:rFonts w:cs="Arial"/>
                <w:color w:val="00B050"/>
                <w:sz w:val="16"/>
                <w:szCs w:val="16"/>
              </w:rPr>
            </w:pPr>
            <w:r w:rsidRPr="00066E18">
              <w:rPr>
                <w:rFonts w:ascii="Wingdings" w:hAnsi="Wingdings" w:cs="Arial"/>
                <w:b/>
                <w:bCs/>
                <w:color w:val="C00000"/>
                <w:sz w:val="32"/>
                <w:szCs w:val="32"/>
              </w:rPr>
              <w:sym w:font="Wingdings" w:char="F06C"/>
            </w:r>
          </w:p>
        </w:tc>
        <w:tc>
          <w:tcPr>
            <w:tcW w:w="699" w:type="pct"/>
            <w:vAlign w:val="center"/>
          </w:tcPr>
          <w:p w14:paraId="21379A8D" w14:textId="77777777" w:rsidR="00DD7078" w:rsidRPr="00066E18" w:rsidRDefault="00DD7078" w:rsidP="00C37736">
            <w:pPr>
              <w:jc w:val="center"/>
              <w:rPr>
                <w:rFonts w:cs="Arial"/>
                <w:color w:val="00B050"/>
                <w:sz w:val="16"/>
                <w:szCs w:val="16"/>
              </w:rPr>
            </w:pPr>
            <w:r w:rsidRPr="00066E18">
              <w:rPr>
                <w:rFonts w:ascii="Wingdings" w:hAnsi="Wingdings" w:cs="Arial"/>
                <w:b/>
                <w:bCs/>
                <w:color w:val="00B050"/>
                <w:sz w:val="32"/>
                <w:szCs w:val="32"/>
              </w:rPr>
              <w:sym w:font="Wingdings" w:char="F06C"/>
            </w:r>
          </w:p>
        </w:tc>
        <w:tc>
          <w:tcPr>
            <w:tcW w:w="699" w:type="pct"/>
            <w:vAlign w:val="center"/>
          </w:tcPr>
          <w:p w14:paraId="6D30E9C3" w14:textId="77777777" w:rsidR="00DD7078" w:rsidRPr="00066E18" w:rsidRDefault="00DD7078" w:rsidP="00C37736">
            <w:pPr>
              <w:jc w:val="center"/>
              <w:rPr>
                <w:rFonts w:cs="Arial"/>
                <w:color w:val="00B050"/>
                <w:sz w:val="16"/>
                <w:szCs w:val="16"/>
              </w:rPr>
            </w:pPr>
          </w:p>
        </w:tc>
        <w:tc>
          <w:tcPr>
            <w:tcW w:w="699" w:type="pct"/>
            <w:vAlign w:val="center"/>
          </w:tcPr>
          <w:p w14:paraId="0884D62E" w14:textId="77777777" w:rsidR="00DD7078" w:rsidRPr="00066E18" w:rsidRDefault="00DD7078" w:rsidP="00C37736">
            <w:pPr>
              <w:jc w:val="center"/>
              <w:rPr>
                <w:rFonts w:cs="Arial"/>
                <w:color w:val="00B050"/>
                <w:sz w:val="16"/>
                <w:szCs w:val="16"/>
              </w:rPr>
            </w:pPr>
            <w:r w:rsidRPr="00066E18">
              <w:rPr>
                <w:rFonts w:ascii="Wingdings" w:hAnsi="Wingdings" w:cs="Arial"/>
                <w:b/>
                <w:bCs/>
                <w:color w:val="7030A0"/>
                <w:sz w:val="32"/>
                <w:szCs w:val="32"/>
              </w:rPr>
              <w:sym w:font="Wingdings" w:char="F06C"/>
            </w:r>
          </w:p>
        </w:tc>
        <w:tc>
          <w:tcPr>
            <w:tcW w:w="652" w:type="pct"/>
            <w:vAlign w:val="center"/>
          </w:tcPr>
          <w:p w14:paraId="6B194B65" w14:textId="77777777" w:rsidR="00DD7078" w:rsidRPr="00066E18" w:rsidRDefault="00DD7078" w:rsidP="00C37736">
            <w:pPr>
              <w:jc w:val="center"/>
              <w:rPr>
                <w:rFonts w:cs="Arial"/>
                <w:color w:val="FFC000"/>
                <w:sz w:val="16"/>
                <w:szCs w:val="16"/>
              </w:rPr>
            </w:pPr>
            <w:r w:rsidRPr="00066E18">
              <w:rPr>
                <w:rFonts w:ascii="Wingdings" w:hAnsi="Wingdings" w:cs="Arial"/>
                <w:b/>
                <w:bCs/>
                <w:color w:val="FFC000"/>
                <w:sz w:val="32"/>
                <w:szCs w:val="32"/>
              </w:rPr>
              <w:sym w:font="Wingdings" w:char="F06C"/>
            </w:r>
          </w:p>
        </w:tc>
      </w:tr>
      <w:tr w:rsidR="00DD7078" w14:paraId="77363F7F" w14:textId="77777777" w:rsidTr="00C37736">
        <w:trPr>
          <w:trHeight w:hRule="exact" w:val="319"/>
        </w:trPr>
        <w:tc>
          <w:tcPr>
            <w:tcW w:w="852" w:type="pct"/>
            <w:vAlign w:val="center"/>
          </w:tcPr>
          <w:p w14:paraId="578F1874" w14:textId="77777777" w:rsidR="00DD7078" w:rsidRPr="00066E18" w:rsidRDefault="00DD7078" w:rsidP="00C37736">
            <w:pPr>
              <w:spacing w:before="60" w:after="60"/>
              <w:rPr>
                <w:rFonts w:cs="Arial"/>
                <w:b/>
                <w:bCs/>
                <w:sz w:val="16"/>
                <w:szCs w:val="16"/>
              </w:rPr>
            </w:pPr>
            <w:r w:rsidRPr="00066E18">
              <w:rPr>
                <w:rFonts w:cs="Arial"/>
                <w:b/>
                <w:bCs/>
                <w:sz w:val="16"/>
                <w:szCs w:val="16"/>
              </w:rPr>
              <w:t>DT</w:t>
            </w:r>
            <w:r>
              <w:rPr>
                <w:rFonts w:cs="Arial"/>
                <w:b/>
                <w:bCs/>
                <w:sz w:val="16"/>
                <w:szCs w:val="16"/>
              </w:rPr>
              <w:t>S</w:t>
            </w:r>
          </w:p>
        </w:tc>
        <w:tc>
          <w:tcPr>
            <w:tcW w:w="700" w:type="pct"/>
            <w:vAlign w:val="center"/>
          </w:tcPr>
          <w:p w14:paraId="27AA0D15" w14:textId="77777777" w:rsidR="00DD7078" w:rsidRPr="00066E18" w:rsidRDefault="00DD7078" w:rsidP="00C37736">
            <w:pPr>
              <w:jc w:val="center"/>
              <w:rPr>
                <w:rFonts w:cs="Arial"/>
                <w:color w:val="00B050"/>
              </w:rPr>
            </w:pPr>
          </w:p>
        </w:tc>
        <w:tc>
          <w:tcPr>
            <w:tcW w:w="699" w:type="pct"/>
            <w:vAlign w:val="center"/>
          </w:tcPr>
          <w:p w14:paraId="41C4AA88" w14:textId="77777777" w:rsidR="00DD7078" w:rsidRPr="00066E18" w:rsidRDefault="00DD7078"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30CEFD52" w14:textId="77777777" w:rsidR="00DD7078" w:rsidRPr="00066E18" w:rsidRDefault="00DD7078" w:rsidP="00C37736">
            <w:pPr>
              <w:jc w:val="center"/>
              <w:rPr>
                <w:rFonts w:cs="Arial"/>
                <w:color w:val="00B050"/>
              </w:rPr>
            </w:pPr>
          </w:p>
        </w:tc>
        <w:tc>
          <w:tcPr>
            <w:tcW w:w="699" w:type="pct"/>
            <w:vAlign w:val="center"/>
          </w:tcPr>
          <w:p w14:paraId="0FD90B6F" w14:textId="77777777" w:rsidR="00DD7078" w:rsidRPr="00066E18" w:rsidRDefault="00DD7078" w:rsidP="00C37736">
            <w:pPr>
              <w:jc w:val="center"/>
              <w:rPr>
                <w:rFonts w:cs="Arial"/>
                <w:color w:val="00B050"/>
              </w:rPr>
            </w:pPr>
            <w:r w:rsidRPr="00066E18">
              <w:rPr>
                <w:rFonts w:ascii="Wingdings" w:hAnsi="Wingdings" w:cs="Arial"/>
                <w:b/>
                <w:bCs/>
                <w:color w:val="00B0F0"/>
                <w:sz w:val="32"/>
                <w:szCs w:val="32"/>
              </w:rPr>
              <w:sym w:font="Wingdings" w:char="F06C"/>
            </w:r>
          </w:p>
        </w:tc>
        <w:tc>
          <w:tcPr>
            <w:tcW w:w="699" w:type="pct"/>
            <w:vAlign w:val="center"/>
          </w:tcPr>
          <w:p w14:paraId="1498503B" w14:textId="77777777" w:rsidR="00DD7078" w:rsidRPr="00066E18" w:rsidRDefault="00DD7078" w:rsidP="00C37736">
            <w:pPr>
              <w:jc w:val="center"/>
              <w:rPr>
                <w:rFonts w:cs="Arial"/>
                <w:color w:val="00B050"/>
              </w:rPr>
            </w:pPr>
            <w:r w:rsidRPr="00066E18">
              <w:rPr>
                <w:rFonts w:ascii="Wingdings" w:hAnsi="Wingdings" w:cs="Arial"/>
                <w:b/>
                <w:bCs/>
                <w:color w:val="7030A0"/>
                <w:sz w:val="32"/>
                <w:szCs w:val="32"/>
              </w:rPr>
              <w:sym w:font="Wingdings" w:char="F06C"/>
            </w:r>
          </w:p>
        </w:tc>
        <w:tc>
          <w:tcPr>
            <w:tcW w:w="652" w:type="pct"/>
            <w:vAlign w:val="center"/>
          </w:tcPr>
          <w:p w14:paraId="324AB609" w14:textId="77777777" w:rsidR="00DD7078" w:rsidRPr="00066E18" w:rsidRDefault="00DD7078" w:rsidP="00C37736">
            <w:pPr>
              <w:jc w:val="center"/>
              <w:rPr>
                <w:rFonts w:cs="Arial"/>
                <w:color w:val="FFC000"/>
              </w:rPr>
            </w:pPr>
            <w:r w:rsidRPr="00066E18">
              <w:rPr>
                <w:rFonts w:ascii="Wingdings" w:hAnsi="Wingdings" w:cs="Arial"/>
                <w:b/>
                <w:bCs/>
                <w:color w:val="FFC000"/>
                <w:sz w:val="32"/>
                <w:szCs w:val="32"/>
              </w:rPr>
              <w:sym w:font="Wingdings" w:char="F06C"/>
            </w:r>
          </w:p>
        </w:tc>
      </w:tr>
      <w:tr w:rsidR="00DD7078" w14:paraId="26D9E17F" w14:textId="77777777" w:rsidTr="00C37736">
        <w:trPr>
          <w:trHeight w:hRule="exact" w:val="321"/>
        </w:trPr>
        <w:tc>
          <w:tcPr>
            <w:tcW w:w="852" w:type="pct"/>
            <w:vAlign w:val="center"/>
          </w:tcPr>
          <w:p w14:paraId="772EEF3B" w14:textId="77777777" w:rsidR="00DD7078" w:rsidRPr="00066E18" w:rsidRDefault="00DD7078" w:rsidP="00C37736">
            <w:pPr>
              <w:spacing w:before="60" w:after="60"/>
              <w:rPr>
                <w:rFonts w:cs="Arial"/>
                <w:b/>
                <w:bCs/>
                <w:sz w:val="16"/>
                <w:szCs w:val="16"/>
              </w:rPr>
            </w:pPr>
            <w:r w:rsidRPr="00066E18">
              <w:rPr>
                <w:rFonts w:cs="Arial"/>
                <w:b/>
                <w:bCs/>
                <w:sz w:val="16"/>
                <w:szCs w:val="16"/>
              </w:rPr>
              <w:t>DoE</w:t>
            </w:r>
          </w:p>
        </w:tc>
        <w:tc>
          <w:tcPr>
            <w:tcW w:w="700" w:type="pct"/>
            <w:vAlign w:val="center"/>
          </w:tcPr>
          <w:p w14:paraId="5E9CB3A0"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3CA3F171"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872609A"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6F0EB01"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73747754"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612B5EB" w14:textId="77777777" w:rsidR="00DD7078" w:rsidRPr="00066E18" w:rsidRDefault="00DD7078" w:rsidP="00C37736">
            <w:pPr>
              <w:jc w:val="center"/>
              <w:rPr>
                <w:rFonts w:cs="Arial"/>
                <w:color w:val="FFC000"/>
              </w:rPr>
            </w:pPr>
            <w:r w:rsidRPr="00066E18">
              <w:rPr>
                <w:rFonts w:ascii="Wingdings" w:hAnsi="Wingdings" w:cs="Arial"/>
                <w:b/>
                <w:bCs/>
                <w:color w:val="FFC000"/>
                <w:sz w:val="32"/>
                <w:szCs w:val="32"/>
              </w:rPr>
              <w:sym w:font="Wingdings" w:char="F06C"/>
            </w:r>
          </w:p>
        </w:tc>
      </w:tr>
      <w:tr w:rsidR="00DD7078" w14:paraId="2F32A725" w14:textId="77777777" w:rsidTr="00C37736">
        <w:trPr>
          <w:trHeight w:hRule="exact" w:val="355"/>
        </w:trPr>
        <w:tc>
          <w:tcPr>
            <w:tcW w:w="852" w:type="pct"/>
            <w:vAlign w:val="center"/>
          </w:tcPr>
          <w:p w14:paraId="0FAC98E9" w14:textId="77777777" w:rsidR="00DD7078" w:rsidRPr="00066E18" w:rsidRDefault="00DD7078" w:rsidP="00C37736">
            <w:pPr>
              <w:spacing w:before="60" w:after="60"/>
              <w:rPr>
                <w:rFonts w:cs="Arial"/>
                <w:b/>
                <w:bCs/>
                <w:sz w:val="16"/>
                <w:szCs w:val="16"/>
              </w:rPr>
            </w:pPr>
            <w:r w:rsidRPr="00066E18">
              <w:rPr>
                <w:rFonts w:cs="Arial"/>
                <w:b/>
                <w:bCs/>
                <w:sz w:val="16"/>
                <w:szCs w:val="16"/>
              </w:rPr>
              <w:t>DES</w:t>
            </w:r>
            <w:r>
              <w:rPr>
                <w:rFonts w:cs="Arial"/>
                <w:b/>
                <w:bCs/>
                <w:sz w:val="16"/>
                <w:szCs w:val="16"/>
              </w:rPr>
              <w:t>I</w:t>
            </w:r>
          </w:p>
        </w:tc>
        <w:tc>
          <w:tcPr>
            <w:tcW w:w="700" w:type="pct"/>
            <w:vAlign w:val="center"/>
          </w:tcPr>
          <w:p w14:paraId="6B72D8F7" w14:textId="77777777" w:rsidR="00DD7078" w:rsidRPr="0098268B" w:rsidRDefault="00DD7078" w:rsidP="00C37736">
            <w:pPr>
              <w:jc w:val="center"/>
              <w:rPr>
                <w:rFonts w:cs="Arial"/>
                <w:strike/>
                <w:color w:val="00B050"/>
              </w:rPr>
            </w:pPr>
            <w:r w:rsidRPr="00066E18">
              <w:rPr>
                <w:rFonts w:ascii="Wingdings" w:hAnsi="Wingdings" w:cs="Arial"/>
                <w:b/>
                <w:bCs/>
                <w:color w:val="FF00FF"/>
                <w:sz w:val="32"/>
                <w:szCs w:val="32"/>
              </w:rPr>
              <w:sym w:font="Wingdings" w:char="F06C"/>
            </w:r>
          </w:p>
        </w:tc>
        <w:tc>
          <w:tcPr>
            <w:tcW w:w="699" w:type="pct"/>
            <w:vAlign w:val="center"/>
          </w:tcPr>
          <w:p w14:paraId="2FFA7005" w14:textId="77777777" w:rsidR="00DD7078" w:rsidRPr="00066E18" w:rsidRDefault="00DD7078" w:rsidP="00C37736">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35A8460F" w14:textId="77777777" w:rsidR="00DD7078" w:rsidRPr="00066E18" w:rsidRDefault="00DD7078" w:rsidP="00C37736">
            <w:pPr>
              <w:jc w:val="center"/>
              <w:rPr>
                <w:rFonts w:cs="Arial"/>
                <w:color w:val="00B050"/>
              </w:rPr>
            </w:pPr>
          </w:p>
        </w:tc>
        <w:tc>
          <w:tcPr>
            <w:tcW w:w="699" w:type="pct"/>
            <w:vAlign w:val="center"/>
          </w:tcPr>
          <w:p w14:paraId="139489EA" w14:textId="77777777" w:rsidR="00DD7078" w:rsidRPr="00066E18" w:rsidRDefault="00DD7078" w:rsidP="00C37736">
            <w:pPr>
              <w:jc w:val="center"/>
              <w:rPr>
                <w:rFonts w:cs="Arial"/>
                <w:color w:val="00B050"/>
              </w:rPr>
            </w:pPr>
          </w:p>
        </w:tc>
        <w:tc>
          <w:tcPr>
            <w:tcW w:w="699" w:type="pct"/>
            <w:vAlign w:val="center"/>
          </w:tcPr>
          <w:p w14:paraId="447B8F07" w14:textId="77777777" w:rsidR="00DD7078" w:rsidRPr="00066E18" w:rsidRDefault="00DD7078" w:rsidP="00C37736">
            <w:pPr>
              <w:jc w:val="center"/>
              <w:rPr>
                <w:rFonts w:cs="Arial"/>
                <w:color w:val="00B050"/>
              </w:rPr>
            </w:pPr>
          </w:p>
        </w:tc>
        <w:tc>
          <w:tcPr>
            <w:tcW w:w="652" w:type="pct"/>
            <w:vAlign w:val="center"/>
          </w:tcPr>
          <w:p w14:paraId="532AE226" w14:textId="77777777" w:rsidR="00DD7078" w:rsidRPr="00066E18" w:rsidRDefault="00DD7078" w:rsidP="00C37736">
            <w:pPr>
              <w:jc w:val="center"/>
              <w:rPr>
                <w:rFonts w:cs="Arial"/>
                <w:color w:val="FFC000"/>
              </w:rPr>
            </w:pPr>
            <w:r w:rsidRPr="00066E18">
              <w:rPr>
                <w:rFonts w:ascii="Wingdings" w:hAnsi="Wingdings" w:cs="Arial"/>
                <w:b/>
                <w:bCs/>
                <w:color w:val="FFC000"/>
                <w:sz w:val="32"/>
                <w:szCs w:val="32"/>
              </w:rPr>
              <w:sym w:font="Wingdings" w:char="F06C"/>
            </w:r>
          </w:p>
        </w:tc>
      </w:tr>
      <w:tr w:rsidR="00DD7078" w14:paraId="51471D26" w14:textId="77777777" w:rsidTr="00C37736">
        <w:trPr>
          <w:trHeight w:hRule="exact" w:val="369"/>
        </w:trPr>
        <w:tc>
          <w:tcPr>
            <w:tcW w:w="852" w:type="pct"/>
            <w:vAlign w:val="center"/>
          </w:tcPr>
          <w:p w14:paraId="4542FA07" w14:textId="77777777" w:rsidR="00DD7078" w:rsidRPr="00066E18" w:rsidRDefault="00DD7078" w:rsidP="00C37736">
            <w:pPr>
              <w:spacing w:before="60" w:after="60"/>
              <w:rPr>
                <w:rFonts w:cs="Arial"/>
                <w:b/>
                <w:bCs/>
                <w:sz w:val="16"/>
                <w:szCs w:val="16"/>
              </w:rPr>
            </w:pPr>
            <w:r w:rsidRPr="00066E18">
              <w:rPr>
                <w:rFonts w:cs="Arial"/>
                <w:b/>
                <w:bCs/>
                <w:sz w:val="16"/>
                <w:szCs w:val="16"/>
              </w:rPr>
              <w:t>DJAG</w:t>
            </w:r>
          </w:p>
        </w:tc>
        <w:tc>
          <w:tcPr>
            <w:tcW w:w="700" w:type="pct"/>
            <w:vAlign w:val="center"/>
          </w:tcPr>
          <w:p w14:paraId="357EB23D"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5888A3E0"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D03C0CA"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407B4E3"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6B34873"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6EF3166"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4DEBB641" w14:textId="77777777" w:rsidTr="00C37736">
        <w:trPr>
          <w:trHeight w:hRule="exact" w:val="335"/>
        </w:trPr>
        <w:tc>
          <w:tcPr>
            <w:tcW w:w="852" w:type="pct"/>
            <w:vAlign w:val="center"/>
          </w:tcPr>
          <w:p w14:paraId="303627D4" w14:textId="77777777" w:rsidR="00DD7078" w:rsidRPr="00066E18" w:rsidRDefault="00DD7078" w:rsidP="00C37736">
            <w:pPr>
              <w:spacing w:before="60" w:after="60"/>
              <w:rPr>
                <w:rFonts w:cs="Arial"/>
                <w:b/>
                <w:bCs/>
                <w:sz w:val="16"/>
                <w:szCs w:val="16"/>
              </w:rPr>
            </w:pPr>
            <w:r w:rsidRPr="00066E18">
              <w:rPr>
                <w:rFonts w:cs="Arial"/>
                <w:b/>
                <w:bCs/>
                <w:sz w:val="16"/>
                <w:szCs w:val="16"/>
              </w:rPr>
              <w:t>DPC</w:t>
            </w:r>
          </w:p>
        </w:tc>
        <w:tc>
          <w:tcPr>
            <w:tcW w:w="700" w:type="pct"/>
            <w:vAlign w:val="center"/>
          </w:tcPr>
          <w:p w14:paraId="28A2AE82"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040D7770"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3ABBEBC"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3EC0EADE"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09FF25D0"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1C5A43E7"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2699B449" w14:textId="77777777" w:rsidTr="00C37736">
        <w:trPr>
          <w:trHeight w:hRule="exact" w:val="369"/>
        </w:trPr>
        <w:tc>
          <w:tcPr>
            <w:tcW w:w="852" w:type="pct"/>
            <w:vAlign w:val="center"/>
          </w:tcPr>
          <w:p w14:paraId="66BBC470" w14:textId="77777777" w:rsidR="00DD7078" w:rsidRPr="00066E18" w:rsidRDefault="00DD7078" w:rsidP="00C37736">
            <w:pPr>
              <w:spacing w:before="60" w:after="60"/>
              <w:rPr>
                <w:rFonts w:cs="Arial"/>
                <w:b/>
                <w:bCs/>
                <w:sz w:val="16"/>
                <w:szCs w:val="16"/>
              </w:rPr>
            </w:pPr>
            <w:r w:rsidRPr="00066E18">
              <w:rPr>
                <w:rFonts w:cs="Arial"/>
                <w:b/>
                <w:bCs/>
                <w:sz w:val="16"/>
                <w:szCs w:val="16"/>
              </w:rPr>
              <w:t>QPS</w:t>
            </w:r>
          </w:p>
        </w:tc>
        <w:tc>
          <w:tcPr>
            <w:tcW w:w="700" w:type="pct"/>
            <w:vAlign w:val="center"/>
          </w:tcPr>
          <w:p w14:paraId="4C6BDAF2"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60BB6315"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FD50F6C"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7BBD6032"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2B2066AF"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15101F9E"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77F0F534" w14:textId="77777777" w:rsidTr="00C37736">
        <w:trPr>
          <w:trHeight w:hRule="exact" w:val="345"/>
        </w:trPr>
        <w:tc>
          <w:tcPr>
            <w:tcW w:w="852" w:type="pct"/>
            <w:vAlign w:val="center"/>
          </w:tcPr>
          <w:p w14:paraId="71A61DB9" w14:textId="77777777" w:rsidR="00DD7078" w:rsidRPr="00066E18" w:rsidRDefault="00DD7078" w:rsidP="00C37736">
            <w:pPr>
              <w:spacing w:before="60" w:after="60"/>
              <w:rPr>
                <w:rFonts w:cs="Arial"/>
                <w:b/>
                <w:bCs/>
                <w:sz w:val="16"/>
                <w:szCs w:val="16"/>
              </w:rPr>
            </w:pPr>
            <w:r w:rsidRPr="00066E18">
              <w:rPr>
                <w:rFonts w:cs="Arial"/>
                <w:b/>
                <w:bCs/>
                <w:sz w:val="16"/>
                <w:szCs w:val="16"/>
              </w:rPr>
              <w:t>QT</w:t>
            </w:r>
          </w:p>
        </w:tc>
        <w:tc>
          <w:tcPr>
            <w:tcW w:w="700" w:type="pct"/>
            <w:vAlign w:val="center"/>
          </w:tcPr>
          <w:p w14:paraId="0CCF2DCF"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031D0B63"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C4A7663"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1FAC67E5"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41A81F1"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7F7C943"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338B266E" w14:textId="77777777" w:rsidTr="00C37736">
        <w:trPr>
          <w:trHeight w:hRule="exact" w:val="369"/>
        </w:trPr>
        <w:tc>
          <w:tcPr>
            <w:tcW w:w="852" w:type="pct"/>
            <w:vAlign w:val="center"/>
          </w:tcPr>
          <w:p w14:paraId="71FBB6A9" w14:textId="77777777" w:rsidR="00DD7078" w:rsidRPr="00066E18" w:rsidRDefault="00DD7078" w:rsidP="00C37736">
            <w:pPr>
              <w:spacing w:before="60" w:after="60"/>
              <w:rPr>
                <w:rFonts w:cs="Arial"/>
                <w:b/>
                <w:bCs/>
                <w:sz w:val="16"/>
                <w:szCs w:val="16"/>
              </w:rPr>
            </w:pPr>
            <w:r w:rsidRPr="00066E18">
              <w:rPr>
                <w:rFonts w:cs="Arial"/>
                <w:b/>
                <w:bCs/>
                <w:sz w:val="16"/>
                <w:szCs w:val="16"/>
              </w:rPr>
              <w:t>DAF</w:t>
            </w:r>
          </w:p>
        </w:tc>
        <w:tc>
          <w:tcPr>
            <w:tcW w:w="700" w:type="pct"/>
            <w:vAlign w:val="center"/>
          </w:tcPr>
          <w:p w14:paraId="609B6B73"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457616EF"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E5AA7D6"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6E5B4DA"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4557EF8E"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98DE4B0"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5DC679A3" w14:textId="77777777" w:rsidTr="00C37736">
        <w:trPr>
          <w:trHeight w:hRule="exact" w:val="369"/>
        </w:trPr>
        <w:tc>
          <w:tcPr>
            <w:tcW w:w="852" w:type="pct"/>
            <w:vAlign w:val="center"/>
          </w:tcPr>
          <w:p w14:paraId="7C4E126A" w14:textId="77777777" w:rsidR="00DD7078" w:rsidRPr="00066E18" w:rsidRDefault="00DD7078" w:rsidP="00C37736">
            <w:pPr>
              <w:spacing w:before="60" w:after="60"/>
              <w:rPr>
                <w:rFonts w:cs="Arial"/>
                <w:b/>
                <w:bCs/>
                <w:sz w:val="16"/>
                <w:szCs w:val="16"/>
              </w:rPr>
            </w:pPr>
            <w:r w:rsidRPr="00066E18">
              <w:rPr>
                <w:rFonts w:cs="Arial"/>
                <w:b/>
                <w:bCs/>
                <w:sz w:val="16"/>
                <w:szCs w:val="16"/>
              </w:rPr>
              <w:t>DESBT</w:t>
            </w:r>
          </w:p>
        </w:tc>
        <w:tc>
          <w:tcPr>
            <w:tcW w:w="700" w:type="pct"/>
            <w:vAlign w:val="center"/>
          </w:tcPr>
          <w:p w14:paraId="5A255F26"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6C00B58"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080274D"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7F70AA3B"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203FA3FA"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4482821D" w14:textId="77777777" w:rsidR="00DD7078" w:rsidRPr="00066E18" w:rsidRDefault="00DD7078" w:rsidP="00C37736">
            <w:pPr>
              <w:jc w:val="center"/>
              <w:rPr>
                <w:rFonts w:ascii="Wingdings" w:hAnsi="Wingdings" w:cs="Arial"/>
                <w:b/>
                <w:bCs/>
                <w:color w:val="FFC000"/>
                <w:sz w:val="16"/>
                <w:szCs w:val="16"/>
              </w:rPr>
            </w:pPr>
            <w:r w:rsidRPr="00066E18">
              <w:rPr>
                <w:rFonts w:ascii="Wingdings" w:hAnsi="Wingdings" w:cs="Arial"/>
                <w:b/>
                <w:bCs/>
                <w:color w:val="FFC000"/>
                <w:sz w:val="32"/>
                <w:szCs w:val="32"/>
              </w:rPr>
              <w:sym w:font="Wingdings" w:char="F06C"/>
            </w:r>
          </w:p>
        </w:tc>
      </w:tr>
      <w:tr w:rsidR="00DD7078" w14:paraId="7F848640" w14:textId="77777777" w:rsidTr="00C37736">
        <w:trPr>
          <w:trHeight w:hRule="exact" w:val="369"/>
        </w:trPr>
        <w:tc>
          <w:tcPr>
            <w:tcW w:w="852" w:type="pct"/>
            <w:vAlign w:val="center"/>
          </w:tcPr>
          <w:p w14:paraId="223539A9" w14:textId="77777777" w:rsidR="00DD7078" w:rsidRPr="00066E18" w:rsidRDefault="00DD7078" w:rsidP="00C37736">
            <w:pPr>
              <w:spacing w:before="60" w:after="60"/>
              <w:rPr>
                <w:rFonts w:cs="Arial"/>
                <w:b/>
                <w:bCs/>
                <w:sz w:val="16"/>
                <w:szCs w:val="16"/>
              </w:rPr>
            </w:pPr>
            <w:r w:rsidRPr="00066E18">
              <w:rPr>
                <w:rFonts w:cs="Arial"/>
                <w:b/>
                <w:bCs/>
                <w:sz w:val="16"/>
                <w:szCs w:val="16"/>
              </w:rPr>
              <w:t>DTMR</w:t>
            </w:r>
          </w:p>
        </w:tc>
        <w:tc>
          <w:tcPr>
            <w:tcW w:w="700" w:type="pct"/>
            <w:vAlign w:val="center"/>
          </w:tcPr>
          <w:p w14:paraId="6EF1BAE5"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4A9BCD5D"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6225175"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7D9BEC30"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1C0E2D9"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3FCB90F3"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3C36E748" w14:textId="77777777" w:rsidTr="00C37736">
        <w:trPr>
          <w:trHeight w:hRule="exact" w:val="369"/>
        </w:trPr>
        <w:tc>
          <w:tcPr>
            <w:tcW w:w="852" w:type="pct"/>
            <w:vAlign w:val="center"/>
          </w:tcPr>
          <w:p w14:paraId="1A1F4C80" w14:textId="77777777" w:rsidR="00DD7078" w:rsidRPr="00066E18" w:rsidRDefault="00DD7078" w:rsidP="00C37736">
            <w:pPr>
              <w:spacing w:before="60" w:after="60"/>
              <w:rPr>
                <w:rFonts w:cs="Arial"/>
                <w:b/>
                <w:bCs/>
                <w:sz w:val="16"/>
                <w:szCs w:val="16"/>
              </w:rPr>
            </w:pPr>
            <w:r w:rsidRPr="0027676F">
              <w:rPr>
                <w:rFonts w:cs="Arial"/>
                <w:b/>
                <w:bCs/>
                <w:sz w:val="16"/>
                <w:szCs w:val="16"/>
              </w:rPr>
              <w:t>PSC</w:t>
            </w:r>
          </w:p>
        </w:tc>
        <w:tc>
          <w:tcPr>
            <w:tcW w:w="700" w:type="pct"/>
            <w:vAlign w:val="center"/>
          </w:tcPr>
          <w:p w14:paraId="3DC678BB"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02127A8D"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9F413D2"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43A9134B"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4855F0F9" w14:textId="77777777" w:rsidR="00DD7078" w:rsidRPr="00066E18" w:rsidRDefault="00DD7078" w:rsidP="00C37736">
            <w:pPr>
              <w:jc w:val="center"/>
              <w:rPr>
                <w:rFonts w:ascii="Wingdings" w:hAnsi="Wingdings" w:cs="Arial"/>
                <w:b/>
                <w:bCs/>
                <w:color w:val="00B050"/>
                <w:sz w:val="32"/>
                <w:szCs w:val="32"/>
              </w:rPr>
            </w:pPr>
          </w:p>
        </w:tc>
        <w:tc>
          <w:tcPr>
            <w:tcW w:w="652" w:type="pct"/>
            <w:vAlign w:val="center"/>
          </w:tcPr>
          <w:p w14:paraId="240A5A4C" w14:textId="77777777" w:rsidR="00DD7078" w:rsidRPr="00066E18" w:rsidRDefault="00DD7078" w:rsidP="00C37736">
            <w:pPr>
              <w:jc w:val="center"/>
              <w:rPr>
                <w:rFonts w:ascii="Wingdings" w:hAnsi="Wingdings" w:cs="Arial"/>
                <w:b/>
                <w:bCs/>
                <w:color w:val="FFC000"/>
                <w:sz w:val="32"/>
                <w:szCs w:val="32"/>
              </w:rPr>
            </w:pPr>
          </w:p>
        </w:tc>
      </w:tr>
      <w:tr w:rsidR="00DD7078" w14:paraId="74C6C7F8" w14:textId="77777777" w:rsidTr="00C37736">
        <w:trPr>
          <w:trHeight w:hRule="exact" w:val="369"/>
        </w:trPr>
        <w:tc>
          <w:tcPr>
            <w:tcW w:w="852" w:type="pct"/>
            <w:vAlign w:val="center"/>
          </w:tcPr>
          <w:p w14:paraId="21538E8C" w14:textId="77777777" w:rsidR="00DD7078" w:rsidRPr="00066E18" w:rsidRDefault="00DD7078" w:rsidP="00C37736">
            <w:pPr>
              <w:spacing w:before="60" w:after="60"/>
              <w:rPr>
                <w:rFonts w:cs="Arial"/>
                <w:b/>
                <w:bCs/>
                <w:sz w:val="16"/>
                <w:szCs w:val="16"/>
              </w:rPr>
            </w:pPr>
            <w:r w:rsidRPr="00066E18">
              <w:rPr>
                <w:rFonts w:cs="Arial"/>
                <w:b/>
                <w:bCs/>
                <w:sz w:val="16"/>
                <w:szCs w:val="16"/>
              </w:rPr>
              <w:t>QCS</w:t>
            </w:r>
          </w:p>
        </w:tc>
        <w:tc>
          <w:tcPr>
            <w:tcW w:w="700" w:type="pct"/>
            <w:vAlign w:val="center"/>
          </w:tcPr>
          <w:p w14:paraId="1D905F16"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469C9ABF"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0E95D5E"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13AF99AC"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2A709A4"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6D29B9B8"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10DBE82D" w14:textId="77777777" w:rsidTr="00C37736">
        <w:trPr>
          <w:trHeight w:hRule="exact" w:val="369"/>
        </w:trPr>
        <w:tc>
          <w:tcPr>
            <w:tcW w:w="852" w:type="pct"/>
            <w:vAlign w:val="center"/>
          </w:tcPr>
          <w:p w14:paraId="08F26650" w14:textId="77777777" w:rsidR="00DD7078" w:rsidRPr="00066E18" w:rsidRDefault="00DD7078" w:rsidP="00C37736">
            <w:pPr>
              <w:spacing w:before="60" w:after="60"/>
              <w:rPr>
                <w:rFonts w:cs="Arial"/>
                <w:b/>
                <w:bCs/>
                <w:sz w:val="16"/>
                <w:szCs w:val="16"/>
              </w:rPr>
            </w:pPr>
            <w:r w:rsidRPr="00066E18">
              <w:rPr>
                <w:rFonts w:cs="Arial"/>
                <w:b/>
                <w:bCs/>
                <w:sz w:val="16"/>
                <w:szCs w:val="16"/>
              </w:rPr>
              <w:t>QF</w:t>
            </w:r>
            <w:r>
              <w:rPr>
                <w:rFonts w:cs="Arial"/>
                <w:b/>
                <w:bCs/>
                <w:sz w:val="16"/>
                <w:szCs w:val="16"/>
              </w:rPr>
              <w:t>D</w:t>
            </w:r>
          </w:p>
        </w:tc>
        <w:tc>
          <w:tcPr>
            <w:tcW w:w="700" w:type="pct"/>
            <w:vAlign w:val="center"/>
          </w:tcPr>
          <w:p w14:paraId="564BD038"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357FE749"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6D8A76D"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409BB426"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05AEE72"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B7A60AF"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0C95BA04" w14:textId="77777777" w:rsidTr="00C37736">
        <w:trPr>
          <w:trHeight w:hRule="exact" w:val="369"/>
        </w:trPr>
        <w:tc>
          <w:tcPr>
            <w:tcW w:w="852" w:type="pct"/>
            <w:vAlign w:val="center"/>
          </w:tcPr>
          <w:p w14:paraId="5F66CE94" w14:textId="77777777" w:rsidR="00DD7078" w:rsidRPr="00066E18" w:rsidRDefault="00DD7078" w:rsidP="00C37736">
            <w:pPr>
              <w:spacing w:before="60" w:after="60"/>
              <w:rPr>
                <w:rFonts w:cs="Arial"/>
                <w:b/>
                <w:bCs/>
                <w:sz w:val="16"/>
                <w:szCs w:val="16"/>
              </w:rPr>
            </w:pPr>
            <w:r w:rsidRPr="00066E18">
              <w:rPr>
                <w:rFonts w:cs="Arial"/>
                <w:b/>
                <w:bCs/>
                <w:sz w:val="16"/>
                <w:szCs w:val="16"/>
              </w:rPr>
              <w:t>QH</w:t>
            </w:r>
          </w:p>
          <w:p w14:paraId="060FE181" w14:textId="77777777" w:rsidR="00DD7078" w:rsidRPr="00066E18" w:rsidRDefault="00DD7078" w:rsidP="00C37736">
            <w:pPr>
              <w:spacing w:before="60" w:after="60"/>
              <w:rPr>
                <w:rFonts w:cs="Arial"/>
                <w:b/>
                <w:bCs/>
                <w:sz w:val="16"/>
                <w:szCs w:val="16"/>
              </w:rPr>
            </w:pPr>
          </w:p>
        </w:tc>
        <w:tc>
          <w:tcPr>
            <w:tcW w:w="700" w:type="pct"/>
            <w:vAlign w:val="center"/>
          </w:tcPr>
          <w:p w14:paraId="2A4ACE42"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12D77CE4"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FDEF22B"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6FD566D"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4FE988B6"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4D2E8449"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7DC50C02" w14:textId="77777777" w:rsidTr="00C37736">
        <w:trPr>
          <w:trHeight w:hRule="exact" w:val="369"/>
        </w:trPr>
        <w:tc>
          <w:tcPr>
            <w:tcW w:w="852" w:type="pct"/>
            <w:vAlign w:val="center"/>
          </w:tcPr>
          <w:p w14:paraId="670DE898" w14:textId="77777777" w:rsidR="00DD7078" w:rsidRPr="00066E18" w:rsidRDefault="00DD7078" w:rsidP="00C37736">
            <w:pPr>
              <w:spacing w:before="60" w:after="60"/>
              <w:rPr>
                <w:rFonts w:cs="Arial"/>
                <w:b/>
                <w:bCs/>
                <w:sz w:val="16"/>
                <w:szCs w:val="16"/>
              </w:rPr>
            </w:pPr>
            <w:r w:rsidRPr="0027676F">
              <w:rPr>
                <w:rFonts w:cs="Arial"/>
                <w:b/>
                <w:bCs/>
                <w:sz w:val="16"/>
                <w:szCs w:val="16"/>
              </w:rPr>
              <w:t>ECQ</w:t>
            </w:r>
          </w:p>
        </w:tc>
        <w:tc>
          <w:tcPr>
            <w:tcW w:w="700" w:type="pct"/>
            <w:vAlign w:val="center"/>
          </w:tcPr>
          <w:p w14:paraId="1BA0F174"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085BA7A4"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F3AF068"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5325979A"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6435D645"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06A016B"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4A4C2E8A" w14:textId="77777777" w:rsidTr="00C37736">
        <w:trPr>
          <w:trHeight w:hRule="exact" w:val="369"/>
        </w:trPr>
        <w:tc>
          <w:tcPr>
            <w:tcW w:w="852" w:type="pct"/>
            <w:vAlign w:val="center"/>
          </w:tcPr>
          <w:p w14:paraId="0B6A9407" w14:textId="77777777" w:rsidR="00DD7078" w:rsidRPr="00066E18" w:rsidRDefault="00DD7078" w:rsidP="00C37736">
            <w:pPr>
              <w:spacing w:before="60" w:after="60"/>
              <w:rPr>
                <w:rFonts w:cs="Arial"/>
                <w:b/>
                <w:bCs/>
                <w:sz w:val="16"/>
                <w:szCs w:val="16"/>
              </w:rPr>
            </w:pPr>
            <w:r w:rsidRPr="0027676F">
              <w:rPr>
                <w:rFonts w:cs="Arial"/>
                <w:b/>
                <w:bCs/>
                <w:sz w:val="16"/>
                <w:szCs w:val="16"/>
              </w:rPr>
              <w:t>LAQ</w:t>
            </w:r>
          </w:p>
        </w:tc>
        <w:tc>
          <w:tcPr>
            <w:tcW w:w="700" w:type="pct"/>
            <w:vAlign w:val="center"/>
          </w:tcPr>
          <w:p w14:paraId="12BD969B"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0E47656B"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40A7AAF"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011169FD"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41BBD4B"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739AA70"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19D7C3EB" w14:textId="77777777" w:rsidTr="00C37736">
        <w:trPr>
          <w:trHeight w:hRule="exact" w:val="369"/>
        </w:trPr>
        <w:tc>
          <w:tcPr>
            <w:tcW w:w="852" w:type="pct"/>
            <w:vAlign w:val="center"/>
          </w:tcPr>
          <w:p w14:paraId="67A24DE4" w14:textId="77777777" w:rsidR="00DD7078" w:rsidRPr="00066E18" w:rsidRDefault="00DD7078" w:rsidP="00C37736">
            <w:pPr>
              <w:spacing w:before="60" w:after="60"/>
              <w:rPr>
                <w:rFonts w:cs="Arial"/>
                <w:b/>
                <w:bCs/>
                <w:sz w:val="16"/>
                <w:szCs w:val="16"/>
              </w:rPr>
            </w:pPr>
            <w:r w:rsidRPr="0027676F">
              <w:rPr>
                <w:rFonts w:cs="Arial"/>
                <w:b/>
                <w:bCs/>
                <w:sz w:val="16"/>
                <w:szCs w:val="16"/>
              </w:rPr>
              <w:t>QHRC</w:t>
            </w:r>
          </w:p>
        </w:tc>
        <w:tc>
          <w:tcPr>
            <w:tcW w:w="700" w:type="pct"/>
            <w:vAlign w:val="center"/>
          </w:tcPr>
          <w:p w14:paraId="58931F9C"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1F308036"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22B3579C"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5534B3CB"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1E24E75"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41E8C4EE" w14:textId="77777777" w:rsidR="00DD7078" w:rsidRPr="00066E18" w:rsidRDefault="00DD7078" w:rsidP="00C37736">
            <w:pPr>
              <w:jc w:val="center"/>
              <w:rPr>
                <w:rFonts w:ascii="Wingdings" w:hAnsi="Wingdings" w:cs="Arial"/>
                <w:b/>
                <w:bCs/>
                <w:color w:val="00B050"/>
                <w:sz w:val="32"/>
                <w:szCs w:val="32"/>
              </w:rPr>
            </w:pPr>
          </w:p>
        </w:tc>
      </w:tr>
      <w:tr w:rsidR="00DD7078" w14:paraId="46813167" w14:textId="77777777" w:rsidTr="00C37736">
        <w:trPr>
          <w:trHeight w:hRule="exact" w:val="369"/>
        </w:trPr>
        <w:tc>
          <w:tcPr>
            <w:tcW w:w="852" w:type="pct"/>
            <w:vAlign w:val="center"/>
          </w:tcPr>
          <w:p w14:paraId="0583BF9A" w14:textId="77777777" w:rsidR="00DD7078" w:rsidRPr="00066E18" w:rsidRDefault="00DD7078" w:rsidP="00C37736">
            <w:pPr>
              <w:spacing w:before="60" w:after="60"/>
              <w:rPr>
                <w:rFonts w:cs="Arial"/>
                <w:b/>
                <w:bCs/>
                <w:sz w:val="16"/>
                <w:szCs w:val="16"/>
              </w:rPr>
            </w:pPr>
            <w:r w:rsidRPr="00066E18">
              <w:rPr>
                <w:rFonts w:cs="Arial"/>
                <w:b/>
                <w:bCs/>
                <w:sz w:val="16"/>
                <w:szCs w:val="16"/>
              </w:rPr>
              <w:t>QMHC</w:t>
            </w:r>
          </w:p>
        </w:tc>
        <w:tc>
          <w:tcPr>
            <w:tcW w:w="700" w:type="pct"/>
            <w:vAlign w:val="center"/>
          </w:tcPr>
          <w:p w14:paraId="2A5A3763"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20B8C88"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01B26C1"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CAAA2C9"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1933EFC9"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882A1AC"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47C853BC" w14:textId="77777777" w:rsidTr="00C37736">
        <w:trPr>
          <w:trHeight w:hRule="exact" w:val="369"/>
        </w:trPr>
        <w:tc>
          <w:tcPr>
            <w:tcW w:w="852" w:type="pct"/>
            <w:vAlign w:val="center"/>
          </w:tcPr>
          <w:p w14:paraId="6551283D" w14:textId="77777777" w:rsidR="00DD7078" w:rsidRPr="00066E18" w:rsidRDefault="00DD7078" w:rsidP="00C37736">
            <w:pPr>
              <w:spacing w:before="60" w:after="60"/>
              <w:rPr>
                <w:rFonts w:cs="Arial"/>
                <w:b/>
                <w:bCs/>
                <w:sz w:val="16"/>
                <w:szCs w:val="16"/>
              </w:rPr>
            </w:pPr>
            <w:r w:rsidRPr="00066E18">
              <w:rPr>
                <w:rFonts w:cs="Arial"/>
                <w:b/>
                <w:bCs/>
                <w:sz w:val="16"/>
                <w:szCs w:val="16"/>
              </w:rPr>
              <w:t>RTA</w:t>
            </w:r>
          </w:p>
        </w:tc>
        <w:tc>
          <w:tcPr>
            <w:tcW w:w="700" w:type="pct"/>
            <w:vAlign w:val="center"/>
          </w:tcPr>
          <w:p w14:paraId="7581949B"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072F0675"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2176BA1"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4788D103"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6C72B8A" w14:textId="77777777" w:rsidR="00DD7078" w:rsidRPr="00066E18" w:rsidRDefault="00DD7078" w:rsidP="00C37736">
            <w:pPr>
              <w:jc w:val="center"/>
              <w:rPr>
                <w:rFonts w:ascii="Wingdings" w:hAnsi="Wingdings" w:cs="Arial"/>
                <w:b/>
                <w:bCs/>
                <w:color w:val="00B050"/>
                <w:sz w:val="32"/>
                <w:szCs w:val="32"/>
              </w:rPr>
            </w:pPr>
          </w:p>
        </w:tc>
        <w:tc>
          <w:tcPr>
            <w:tcW w:w="652" w:type="pct"/>
            <w:vAlign w:val="center"/>
          </w:tcPr>
          <w:p w14:paraId="01DE49F8"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6BD32B81" w14:textId="77777777" w:rsidTr="00C37736">
        <w:trPr>
          <w:trHeight w:hRule="exact" w:val="369"/>
        </w:trPr>
        <w:tc>
          <w:tcPr>
            <w:tcW w:w="852" w:type="pct"/>
            <w:vAlign w:val="center"/>
          </w:tcPr>
          <w:p w14:paraId="6B412651" w14:textId="77777777" w:rsidR="00DD7078" w:rsidRPr="00066E18" w:rsidRDefault="00DD7078" w:rsidP="00C37736">
            <w:pPr>
              <w:spacing w:before="60" w:after="60"/>
              <w:rPr>
                <w:rFonts w:cs="Arial"/>
                <w:b/>
                <w:bCs/>
                <w:sz w:val="16"/>
                <w:szCs w:val="16"/>
              </w:rPr>
            </w:pPr>
            <w:r w:rsidRPr="00066E18">
              <w:rPr>
                <w:rFonts w:cs="Arial"/>
                <w:b/>
                <w:bCs/>
                <w:sz w:val="16"/>
                <w:szCs w:val="16"/>
              </w:rPr>
              <w:t>TIQ</w:t>
            </w:r>
          </w:p>
        </w:tc>
        <w:tc>
          <w:tcPr>
            <w:tcW w:w="700" w:type="pct"/>
            <w:vAlign w:val="center"/>
          </w:tcPr>
          <w:p w14:paraId="3D67EC29"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56DBA8C0"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43E5AF02"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5D77B0B9"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3C3909B"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108F7DA0"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62BB1D06" w14:textId="77777777" w:rsidTr="00C37736">
        <w:trPr>
          <w:trHeight w:hRule="exact" w:val="369"/>
        </w:trPr>
        <w:tc>
          <w:tcPr>
            <w:tcW w:w="852" w:type="pct"/>
            <w:vAlign w:val="center"/>
          </w:tcPr>
          <w:p w14:paraId="1F38DF8A" w14:textId="77777777" w:rsidR="00DD7078" w:rsidRPr="00066E18" w:rsidRDefault="00DD7078" w:rsidP="00C37736">
            <w:pPr>
              <w:spacing w:before="60" w:after="60"/>
              <w:rPr>
                <w:rFonts w:cs="Arial"/>
                <w:b/>
                <w:bCs/>
                <w:sz w:val="16"/>
                <w:szCs w:val="16"/>
              </w:rPr>
            </w:pPr>
            <w:r w:rsidRPr="00066E18">
              <w:rPr>
                <w:rFonts w:cs="Arial"/>
                <w:b/>
                <w:bCs/>
                <w:sz w:val="16"/>
                <w:szCs w:val="16"/>
              </w:rPr>
              <w:t>TAFE QLD</w:t>
            </w:r>
          </w:p>
        </w:tc>
        <w:tc>
          <w:tcPr>
            <w:tcW w:w="700" w:type="pct"/>
            <w:vAlign w:val="center"/>
          </w:tcPr>
          <w:p w14:paraId="63E4655B"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4C11450D"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4D92DA44"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15CC34AD"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560D9FBF"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63B6467D"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71C6EA54" w14:textId="77777777" w:rsidTr="00C37736">
        <w:trPr>
          <w:trHeight w:hRule="exact" w:val="369"/>
        </w:trPr>
        <w:tc>
          <w:tcPr>
            <w:tcW w:w="852" w:type="pct"/>
            <w:vAlign w:val="center"/>
          </w:tcPr>
          <w:p w14:paraId="3F55536F" w14:textId="77777777" w:rsidR="00DD7078" w:rsidRPr="00066E18" w:rsidRDefault="00DD7078" w:rsidP="00C37736">
            <w:pPr>
              <w:spacing w:before="60" w:after="60"/>
              <w:rPr>
                <w:rFonts w:cs="Arial"/>
                <w:b/>
                <w:bCs/>
                <w:sz w:val="16"/>
                <w:szCs w:val="16"/>
              </w:rPr>
            </w:pPr>
            <w:r w:rsidRPr="00066E18">
              <w:rPr>
                <w:rFonts w:cs="Arial"/>
                <w:b/>
                <w:bCs/>
                <w:sz w:val="16"/>
                <w:szCs w:val="16"/>
              </w:rPr>
              <w:t>DCSSDS</w:t>
            </w:r>
          </w:p>
        </w:tc>
        <w:tc>
          <w:tcPr>
            <w:tcW w:w="700" w:type="pct"/>
            <w:vAlign w:val="center"/>
          </w:tcPr>
          <w:p w14:paraId="476EA483" w14:textId="77777777" w:rsidR="00DD7078" w:rsidRPr="00066E18" w:rsidRDefault="00DD7078" w:rsidP="00C37736">
            <w:pPr>
              <w:jc w:val="center"/>
              <w:rPr>
                <w:rFonts w:ascii="Wingdings" w:hAnsi="Wingdings" w:cs="Arial"/>
                <w:b/>
                <w:bCs/>
                <w:color w:val="00B050"/>
                <w:sz w:val="32"/>
                <w:szCs w:val="32"/>
              </w:rPr>
            </w:pPr>
            <w:r w:rsidRPr="003A34FE">
              <w:rPr>
                <w:rFonts w:ascii="Wingdings" w:hAnsi="Wingdings" w:cs="Arial"/>
                <w:b/>
                <w:bCs/>
                <w:color w:val="FF00FF"/>
                <w:sz w:val="32"/>
                <w:szCs w:val="32"/>
              </w:rPr>
              <w:sym w:font="Wingdings" w:char="F06C"/>
            </w:r>
          </w:p>
        </w:tc>
        <w:tc>
          <w:tcPr>
            <w:tcW w:w="699" w:type="pct"/>
            <w:vAlign w:val="center"/>
          </w:tcPr>
          <w:p w14:paraId="7AAA1199" w14:textId="77777777" w:rsidR="00DD7078" w:rsidRPr="00066E18" w:rsidRDefault="00DD7078" w:rsidP="00C37736">
            <w:pPr>
              <w:jc w:val="center"/>
              <w:rPr>
                <w:rFonts w:ascii="Wingdings" w:hAnsi="Wingdings" w:cs="Arial"/>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69721CE1"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9CADF25"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6DF6E80" w14:textId="77777777" w:rsidR="00DD7078" w:rsidRPr="00066E18" w:rsidRDefault="00DD7078" w:rsidP="00C37736">
            <w:pPr>
              <w:jc w:val="center"/>
              <w:rPr>
                <w:rFonts w:ascii="Wingdings" w:hAnsi="Wingdings" w:cs="Arial"/>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549EF918"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61F2C577" w14:textId="77777777" w:rsidTr="00C37736">
        <w:trPr>
          <w:trHeight w:hRule="exact" w:val="369"/>
        </w:trPr>
        <w:tc>
          <w:tcPr>
            <w:tcW w:w="852" w:type="pct"/>
            <w:vAlign w:val="center"/>
          </w:tcPr>
          <w:p w14:paraId="771885D5" w14:textId="77777777" w:rsidR="00DD7078" w:rsidRPr="00066E18" w:rsidRDefault="00DD7078" w:rsidP="00C37736">
            <w:pPr>
              <w:spacing w:before="60" w:after="60"/>
              <w:rPr>
                <w:rFonts w:cs="Arial"/>
                <w:b/>
                <w:bCs/>
                <w:sz w:val="16"/>
                <w:szCs w:val="16"/>
              </w:rPr>
            </w:pPr>
            <w:r w:rsidRPr="00C72B64">
              <w:rPr>
                <w:rFonts w:cs="Arial"/>
                <w:b/>
                <w:bCs/>
                <w:sz w:val="16"/>
                <w:szCs w:val="16"/>
              </w:rPr>
              <w:t>DTATSIPCA</w:t>
            </w:r>
          </w:p>
        </w:tc>
        <w:tc>
          <w:tcPr>
            <w:tcW w:w="700" w:type="pct"/>
            <w:vAlign w:val="center"/>
          </w:tcPr>
          <w:p w14:paraId="02D33D2F"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7CDEF0D6" w14:textId="77777777" w:rsidR="00DD7078" w:rsidRPr="00066E18" w:rsidRDefault="00DD7078" w:rsidP="00C37736">
            <w:pPr>
              <w:jc w:val="center"/>
              <w:rPr>
                <w:rFonts w:ascii="Wingdings" w:hAnsi="Wingdings" w:cs="Arial"/>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0FCA4DDD"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5F19D519"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7D111AA9" w14:textId="77777777" w:rsidR="00DD7078" w:rsidRPr="00066E18" w:rsidRDefault="00DD7078" w:rsidP="00C37736">
            <w:pPr>
              <w:jc w:val="center"/>
              <w:rPr>
                <w:rFonts w:ascii="Wingdings" w:hAnsi="Wingdings" w:cs="Arial"/>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1438CBE5" w14:textId="77777777" w:rsidR="00DD7078" w:rsidRPr="00066E18" w:rsidRDefault="00DD7078" w:rsidP="00C37736">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DD7078" w14:paraId="1F69A2A0" w14:textId="77777777" w:rsidTr="00C37736">
        <w:trPr>
          <w:trHeight w:hRule="exact" w:val="369"/>
        </w:trPr>
        <w:tc>
          <w:tcPr>
            <w:tcW w:w="852" w:type="pct"/>
            <w:vAlign w:val="center"/>
          </w:tcPr>
          <w:p w14:paraId="398E45B1" w14:textId="77777777" w:rsidR="00DD7078" w:rsidRPr="00066E18" w:rsidRDefault="00DD7078" w:rsidP="00C37736">
            <w:pPr>
              <w:spacing w:before="60" w:after="60"/>
              <w:rPr>
                <w:rFonts w:cs="Arial"/>
                <w:b/>
                <w:bCs/>
                <w:sz w:val="16"/>
                <w:szCs w:val="16"/>
              </w:rPr>
            </w:pPr>
            <w:r w:rsidRPr="00C72B64">
              <w:rPr>
                <w:rFonts w:cs="Arial"/>
                <w:b/>
                <w:bCs/>
                <w:sz w:val="16"/>
                <w:szCs w:val="16"/>
              </w:rPr>
              <w:t>DHLGPPW</w:t>
            </w:r>
          </w:p>
        </w:tc>
        <w:tc>
          <w:tcPr>
            <w:tcW w:w="700" w:type="pct"/>
            <w:vAlign w:val="center"/>
          </w:tcPr>
          <w:p w14:paraId="22145A83"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01E12ACF" w14:textId="77777777" w:rsidR="00DD7078" w:rsidRPr="00066E18" w:rsidRDefault="00DD7078" w:rsidP="00C37736">
            <w:pPr>
              <w:jc w:val="center"/>
              <w:rPr>
                <w:rFonts w:cstheme="minorHAnsi"/>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36340B29"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059CF413" w14:textId="77777777" w:rsidR="00DD7078" w:rsidRPr="00066E18" w:rsidRDefault="00DD7078" w:rsidP="00C37736">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714C2EA7" w14:textId="77777777" w:rsidR="00DD7078" w:rsidRPr="00066E18" w:rsidRDefault="00DD7078" w:rsidP="00C37736">
            <w:pPr>
              <w:jc w:val="center"/>
              <w:rPr>
                <w:rFonts w:cstheme="minorHAnsi"/>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12A6ADE3" w14:textId="77777777" w:rsidR="00DD7078" w:rsidRPr="00066E18" w:rsidRDefault="00DD7078" w:rsidP="00C37736">
            <w:pPr>
              <w:jc w:val="center"/>
              <w:rPr>
                <w:rFonts w:ascii="Wingdings" w:hAnsi="Wingdings" w:cs="Arial"/>
                <w:b/>
                <w:bCs/>
                <w:color w:val="FFC000"/>
                <w:sz w:val="32"/>
                <w:szCs w:val="32"/>
              </w:rPr>
            </w:pPr>
          </w:p>
        </w:tc>
      </w:tr>
      <w:tr w:rsidR="00DD7078" w14:paraId="4A29FC26" w14:textId="77777777" w:rsidTr="00C37736">
        <w:trPr>
          <w:trHeight w:hRule="exact" w:val="369"/>
        </w:trPr>
        <w:tc>
          <w:tcPr>
            <w:tcW w:w="852" w:type="pct"/>
            <w:vAlign w:val="center"/>
          </w:tcPr>
          <w:p w14:paraId="3290A0B4" w14:textId="77777777" w:rsidR="00DD7078" w:rsidRPr="00C72B64" w:rsidRDefault="00DD7078" w:rsidP="00C37736">
            <w:pPr>
              <w:spacing w:before="60" w:after="60"/>
              <w:rPr>
                <w:rFonts w:cs="Arial"/>
                <w:b/>
                <w:bCs/>
                <w:color w:val="FF0000"/>
                <w:sz w:val="16"/>
                <w:szCs w:val="16"/>
              </w:rPr>
            </w:pPr>
            <w:r w:rsidRPr="006B41A7">
              <w:rPr>
                <w:rFonts w:cs="Arial"/>
                <w:b/>
                <w:bCs/>
                <w:sz w:val="16"/>
                <w:szCs w:val="16"/>
              </w:rPr>
              <w:t>DYJ</w:t>
            </w:r>
          </w:p>
        </w:tc>
        <w:tc>
          <w:tcPr>
            <w:tcW w:w="700" w:type="pct"/>
            <w:vAlign w:val="center"/>
          </w:tcPr>
          <w:p w14:paraId="7171E54A" w14:textId="77777777" w:rsidR="00DD7078" w:rsidRPr="00066E18" w:rsidRDefault="00DD7078" w:rsidP="00C37736">
            <w:pPr>
              <w:jc w:val="center"/>
              <w:rPr>
                <w:rFonts w:ascii="Wingdings" w:hAnsi="Wingdings" w:cs="Arial"/>
                <w:b/>
                <w:bCs/>
                <w:color w:val="00B050"/>
                <w:sz w:val="32"/>
                <w:szCs w:val="32"/>
              </w:rPr>
            </w:pPr>
            <w:r w:rsidRPr="003A34FE">
              <w:rPr>
                <w:rFonts w:ascii="Wingdings" w:hAnsi="Wingdings" w:cs="Arial"/>
                <w:b/>
                <w:bCs/>
                <w:color w:val="FF00FF"/>
                <w:sz w:val="32"/>
                <w:szCs w:val="32"/>
              </w:rPr>
              <w:sym w:font="Wingdings" w:char="F06C"/>
            </w:r>
          </w:p>
        </w:tc>
        <w:tc>
          <w:tcPr>
            <w:tcW w:w="699" w:type="pct"/>
            <w:vAlign w:val="center"/>
          </w:tcPr>
          <w:p w14:paraId="39764829" w14:textId="77777777" w:rsidR="00DD7078" w:rsidRPr="00066E18" w:rsidRDefault="00DD7078" w:rsidP="00C37736">
            <w:pPr>
              <w:jc w:val="center"/>
              <w:rPr>
                <w:rFonts w:ascii="Wingdings" w:hAnsi="Wingdings" w:cs="Arial"/>
                <w:b/>
                <w:bCs/>
                <w:color w:val="C00000"/>
                <w:sz w:val="32"/>
                <w:szCs w:val="32"/>
              </w:rPr>
            </w:pPr>
            <w:r w:rsidRPr="003A34FE">
              <w:rPr>
                <w:rFonts w:ascii="Wingdings" w:hAnsi="Wingdings" w:cs="Arial"/>
                <w:b/>
                <w:bCs/>
                <w:color w:val="C00000"/>
                <w:sz w:val="32"/>
                <w:szCs w:val="32"/>
              </w:rPr>
              <w:sym w:font="Wingdings" w:char="F06C"/>
            </w:r>
          </w:p>
        </w:tc>
        <w:tc>
          <w:tcPr>
            <w:tcW w:w="699" w:type="pct"/>
            <w:vAlign w:val="center"/>
          </w:tcPr>
          <w:p w14:paraId="09BB258A" w14:textId="77777777" w:rsidR="00DD7078" w:rsidRPr="00066E18" w:rsidRDefault="00DD7078" w:rsidP="00C37736">
            <w:pPr>
              <w:jc w:val="center"/>
              <w:rPr>
                <w:rFonts w:ascii="Wingdings" w:hAnsi="Wingdings" w:cs="Arial"/>
                <w:b/>
                <w:bCs/>
                <w:color w:val="00B050"/>
                <w:sz w:val="32"/>
                <w:szCs w:val="32"/>
              </w:rPr>
            </w:pPr>
          </w:p>
        </w:tc>
        <w:tc>
          <w:tcPr>
            <w:tcW w:w="699" w:type="pct"/>
            <w:vAlign w:val="center"/>
          </w:tcPr>
          <w:p w14:paraId="6B9BCE09" w14:textId="77777777" w:rsidR="00DD7078" w:rsidRPr="00066E18" w:rsidRDefault="00DD7078" w:rsidP="00C37736">
            <w:pPr>
              <w:jc w:val="center"/>
              <w:rPr>
                <w:rFonts w:ascii="Wingdings" w:hAnsi="Wingdings" w:cs="Arial"/>
                <w:b/>
                <w:bCs/>
                <w:color w:val="00B0F0"/>
                <w:sz w:val="32"/>
                <w:szCs w:val="32"/>
              </w:rPr>
            </w:pPr>
          </w:p>
        </w:tc>
        <w:tc>
          <w:tcPr>
            <w:tcW w:w="699" w:type="pct"/>
            <w:vAlign w:val="center"/>
          </w:tcPr>
          <w:p w14:paraId="533C243B" w14:textId="77777777" w:rsidR="00DD7078" w:rsidRPr="00066E18" w:rsidRDefault="00DD7078" w:rsidP="00C37736">
            <w:pPr>
              <w:jc w:val="center"/>
              <w:rPr>
                <w:rFonts w:cstheme="minorHAnsi"/>
                <w:b/>
                <w:bCs/>
                <w:color w:val="7030A0"/>
                <w:sz w:val="32"/>
                <w:szCs w:val="32"/>
              </w:rPr>
            </w:pPr>
            <w:r w:rsidRPr="003A34FE">
              <w:rPr>
                <w:rFonts w:ascii="Wingdings" w:hAnsi="Wingdings" w:cs="Arial"/>
                <w:b/>
                <w:bCs/>
                <w:color w:val="7030A0"/>
                <w:sz w:val="32"/>
                <w:szCs w:val="32"/>
              </w:rPr>
              <w:sym w:font="Wingdings" w:char="F06C"/>
            </w:r>
          </w:p>
        </w:tc>
        <w:tc>
          <w:tcPr>
            <w:tcW w:w="652" w:type="pct"/>
            <w:vAlign w:val="center"/>
          </w:tcPr>
          <w:p w14:paraId="4546DA1A" w14:textId="77777777" w:rsidR="00DD7078" w:rsidRPr="00066E18" w:rsidRDefault="00DD7078" w:rsidP="00C37736">
            <w:pPr>
              <w:jc w:val="center"/>
              <w:rPr>
                <w:rFonts w:ascii="Wingdings" w:hAnsi="Wingdings" w:cs="Arial"/>
                <w:b/>
                <w:bCs/>
                <w:color w:val="FFC000"/>
                <w:sz w:val="32"/>
                <w:szCs w:val="32"/>
              </w:rPr>
            </w:pPr>
          </w:p>
        </w:tc>
      </w:tr>
      <w:bookmarkEnd w:id="0"/>
    </w:tbl>
    <w:p w14:paraId="776D73E4" w14:textId="4F2D9DA9" w:rsidR="00AA6C62" w:rsidRDefault="00AA6C62" w:rsidP="006D19EE">
      <w:pPr>
        <w:pStyle w:val="ListParagraph"/>
        <w:ind w:left="0"/>
        <w:rPr>
          <w:rFonts w:ascii="Arial" w:hAnsi="Arial" w:cs="Arial"/>
          <w:b/>
        </w:rPr>
        <w:sectPr w:rsidR="00AA6C62" w:rsidSect="00497F78">
          <w:headerReference w:type="default" r:id="rId9"/>
          <w:footerReference w:type="default" r:id="rId10"/>
          <w:headerReference w:type="first" r:id="rId11"/>
          <w:pgSz w:w="11906" w:h="16838"/>
          <w:pgMar w:top="1440" w:right="1440" w:bottom="426" w:left="1134" w:header="709" w:footer="454" w:gutter="0"/>
          <w:cols w:space="708"/>
          <w:titlePg/>
          <w:docGrid w:linePitch="360"/>
        </w:sectPr>
      </w:pPr>
    </w:p>
    <w:p w14:paraId="3D9F940C" w14:textId="16BD4763" w:rsidR="00277DF4" w:rsidRPr="00A53C4E" w:rsidRDefault="00277DF4" w:rsidP="00497F78">
      <w:pPr>
        <w:pStyle w:val="ListParagraph"/>
        <w:ind w:left="0"/>
        <w:rPr>
          <w:rFonts w:ascii="Arial" w:hAnsi="Arial" w:cs="Arial"/>
          <w:b/>
          <w:sz w:val="28"/>
          <w:szCs w:val="28"/>
        </w:rPr>
      </w:pPr>
      <w:r w:rsidRPr="00A53C4E">
        <w:rPr>
          <w:rFonts w:ascii="Arial" w:hAnsi="Arial" w:cs="Arial"/>
          <w:b/>
          <w:bCs/>
          <w:color w:val="C00000"/>
        </w:rPr>
        <w:lastRenderedPageBreak/>
        <w:sym w:font="Wingdings" w:char="F06C"/>
      </w:r>
      <w:r w:rsidRPr="00A53C4E">
        <w:rPr>
          <w:rFonts w:ascii="Arial" w:hAnsi="Arial" w:cs="Arial"/>
          <w:b/>
          <w:bCs/>
          <w:color w:val="C00000"/>
        </w:rPr>
        <w:t xml:space="preserve"> </w:t>
      </w:r>
      <w:r w:rsidRPr="00A53C4E">
        <w:rPr>
          <w:rFonts w:ascii="Arial" w:hAnsi="Arial" w:cs="Arial"/>
          <w:b/>
          <w:color w:val="C00000"/>
          <w:sz w:val="28"/>
          <w:szCs w:val="28"/>
          <w:u w:val="single"/>
        </w:rPr>
        <w:t>KEY ACTION 2</w:t>
      </w:r>
      <w:r w:rsidRPr="00A53C4E">
        <w:rPr>
          <w:rFonts w:ascii="Arial" w:hAnsi="Arial" w:cs="Arial"/>
          <w:b/>
          <w:color w:val="C00000"/>
          <w:sz w:val="28"/>
          <w:szCs w:val="28"/>
        </w:rPr>
        <w:t xml:space="preserve">: </w:t>
      </w:r>
      <w:r w:rsidRPr="00A53C4E">
        <w:rPr>
          <w:rFonts w:ascii="Arial" w:hAnsi="Arial" w:cs="Arial"/>
          <w:b/>
          <w:sz w:val="28"/>
          <w:szCs w:val="28"/>
        </w:rPr>
        <w:t>Recruitment and workplace culture</w:t>
      </w:r>
    </w:p>
    <w:p w14:paraId="38BFAD8A" w14:textId="54C8E1FA" w:rsidR="00277DF4" w:rsidRPr="003D76C4" w:rsidRDefault="00277DF4" w:rsidP="00497F78">
      <w:pPr>
        <w:spacing w:after="240"/>
        <w:rPr>
          <w:rFonts w:cstheme="minorHAnsi"/>
          <w:bCs/>
          <w:sz w:val="24"/>
          <w:szCs w:val="24"/>
        </w:rPr>
      </w:pPr>
      <w:r w:rsidRPr="003D76C4">
        <w:rPr>
          <w:rFonts w:cstheme="minorHAnsi"/>
          <w:bCs/>
          <w:sz w:val="24"/>
          <w:szCs w:val="24"/>
        </w:rPr>
        <w:t xml:space="preserve">Barriers to participation facing culturally and linguistically diverse communities will be removed so they can join the Public Sector and Queensland Government boards, through </w:t>
      </w:r>
      <w:r w:rsidRPr="003D76C4">
        <w:rPr>
          <w:rFonts w:cstheme="minorHAnsi"/>
          <w:b/>
          <w:sz w:val="24"/>
          <w:szCs w:val="24"/>
        </w:rPr>
        <w:t>culturally inclusive recruitment practices and workplace cultures</w:t>
      </w:r>
      <w:r w:rsidRPr="003D76C4">
        <w:rPr>
          <w:rFonts w:cstheme="minorHAnsi"/>
          <w:bCs/>
          <w:sz w:val="24"/>
          <w:szCs w:val="24"/>
        </w:rPr>
        <w:t>. As per the Queensland Multicultural Policy, activities in this section should link to one or more of the following high-level outcomes:</w:t>
      </w:r>
    </w:p>
    <w:p w14:paraId="2C7155F5" w14:textId="5BC18114" w:rsidR="00277DF4" w:rsidRPr="003D76C4" w:rsidRDefault="00277DF4" w:rsidP="00277DF4">
      <w:pPr>
        <w:pStyle w:val="ListParagraph"/>
        <w:numPr>
          <w:ilvl w:val="0"/>
          <w:numId w:val="14"/>
        </w:numPr>
        <w:spacing w:after="0"/>
        <w:rPr>
          <w:rFonts w:cstheme="minorHAnsi"/>
          <w:bCs/>
          <w:i/>
          <w:iCs/>
          <w:sz w:val="24"/>
          <w:szCs w:val="24"/>
        </w:rPr>
      </w:pPr>
      <w:r w:rsidRPr="003D76C4">
        <w:rPr>
          <w:rFonts w:cstheme="minorHAnsi"/>
          <w:bCs/>
          <w:i/>
          <w:iCs/>
          <w:sz w:val="24"/>
          <w:szCs w:val="24"/>
        </w:rPr>
        <w:t xml:space="preserve">Queensland gets the most benefit from our diversity and global </w:t>
      </w:r>
      <w:r w:rsidR="0024507D" w:rsidRPr="003D76C4">
        <w:rPr>
          <w:rFonts w:cstheme="minorHAnsi"/>
          <w:bCs/>
          <w:i/>
          <w:iCs/>
          <w:sz w:val="24"/>
          <w:szCs w:val="24"/>
        </w:rPr>
        <w:t>connections.</w:t>
      </w:r>
    </w:p>
    <w:p w14:paraId="12FB7525" w14:textId="77777777" w:rsidR="00277DF4" w:rsidRPr="003D76C4" w:rsidRDefault="00277DF4" w:rsidP="00277DF4">
      <w:pPr>
        <w:pStyle w:val="ListParagraph"/>
        <w:numPr>
          <w:ilvl w:val="0"/>
          <w:numId w:val="14"/>
        </w:numPr>
        <w:spacing w:after="0"/>
        <w:rPr>
          <w:rFonts w:cstheme="minorHAnsi"/>
          <w:bCs/>
          <w:i/>
          <w:iCs/>
          <w:sz w:val="24"/>
          <w:szCs w:val="24"/>
        </w:rPr>
      </w:pPr>
      <w:r w:rsidRPr="003D76C4">
        <w:rPr>
          <w:rFonts w:cstheme="minorHAnsi"/>
          <w:bCs/>
          <w:i/>
          <w:iCs/>
          <w:sz w:val="24"/>
          <w:szCs w:val="24"/>
        </w:rPr>
        <w:t>Individuals are supported to participate in the economy.</w:t>
      </w:r>
    </w:p>
    <w:p w14:paraId="53C9B773" w14:textId="77777777" w:rsidR="00277DF4" w:rsidRPr="003D76C4" w:rsidRDefault="00277DF4" w:rsidP="00277DF4">
      <w:pPr>
        <w:pStyle w:val="ListParagraph"/>
        <w:numPr>
          <w:ilvl w:val="0"/>
          <w:numId w:val="14"/>
        </w:numPr>
        <w:spacing w:after="0"/>
        <w:rPr>
          <w:rFonts w:cstheme="minorHAnsi"/>
          <w:bCs/>
          <w:i/>
          <w:iCs/>
          <w:sz w:val="24"/>
          <w:szCs w:val="24"/>
        </w:rPr>
      </w:pPr>
      <w:r w:rsidRPr="003D76C4">
        <w:rPr>
          <w:rFonts w:cstheme="minorHAnsi"/>
          <w:bCs/>
          <w:i/>
          <w:iCs/>
          <w:sz w:val="24"/>
          <w:szCs w:val="24"/>
        </w:rPr>
        <w:t>Recognition and respect for Aboriginal and Torres Strait Islander heritage and culture.</w:t>
      </w:r>
    </w:p>
    <w:p w14:paraId="7C8F9AA7" w14:textId="77777777" w:rsidR="00277DF4" w:rsidRPr="003D76C4" w:rsidRDefault="00277DF4" w:rsidP="00277DF4">
      <w:pPr>
        <w:pStyle w:val="ListParagraph"/>
        <w:numPr>
          <w:ilvl w:val="0"/>
          <w:numId w:val="14"/>
        </w:numPr>
        <w:spacing w:after="0"/>
        <w:rPr>
          <w:rFonts w:cstheme="minorHAnsi"/>
          <w:bCs/>
          <w:i/>
          <w:iCs/>
          <w:sz w:val="24"/>
          <w:szCs w:val="24"/>
        </w:rPr>
      </w:pPr>
      <w:r w:rsidRPr="003D76C4">
        <w:rPr>
          <w:rFonts w:cstheme="minorHAnsi"/>
          <w:bCs/>
          <w:i/>
          <w:iCs/>
          <w:sz w:val="24"/>
          <w:szCs w:val="24"/>
        </w:rPr>
        <w:t>Queenslanders celebrate our multicultural identity.</w:t>
      </w:r>
    </w:p>
    <w:p w14:paraId="2C2CFDBE" w14:textId="77777777" w:rsidR="00277DF4" w:rsidRPr="003D76C4" w:rsidRDefault="00277DF4" w:rsidP="00277DF4">
      <w:pPr>
        <w:pStyle w:val="ListParagraph"/>
        <w:numPr>
          <w:ilvl w:val="0"/>
          <w:numId w:val="14"/>
        </w:numPr>
        <w:spacing w:after="0"/>
        <w:rPr>
          <w:rFonts w:cstheme="minorHAnsi"/>
          <w:bCs/>
          <w:i/>
          <w:iCs/>
          <w:sz w:val="24"/>
          <w:szCs w:val="24"/>
        </w:rPr>
      </w:pPr>
      <w:r w:rsidRPr="003D76C4">
        <w:rPr>
          <w:rFonts w:cstheme="minorHAnsi"/>
          <w:bCs/>
          <w:i/>
          <w:iCs/>
          <w:sz w:val="24"/>
          <w:szCs w:val="24"/>
        </w:rPr>
        <w:t>Connected and resilient communities.</w:t>
      </w:r>
    </w:p>
    <w:p w14:paraId="095EDCC4" w14:textId="77777777" w:rsidR="00B47341" w:rsidRPr="003D76C4" w:rsidRDefault="00277DF4" w:rsidP="00E96BE2">
      <w:pPr>
        <w:pStyle w:val="ListParagraph"/>
        <w:numPr>
          <w:ilvl w:val="0"/>
          <w:numId w:val="14"/>
        </w:numPr>
        <w:spacing w:after="0"/>
        <w:rPr>
          <w:rFonts w:cstheme="minorHAnsi"/>
          <w:bCs/>
          <w:i/>
          <w:iCs/>
          <w:sz w:val="24"/>
          <w:szCs w:val="24"/>
        </w:rPr>
      </w:pPr>
      <w:r w:rsidRPr="003D76C4">
        <w:rPr>
          <w:rFonts w:cstheme="minorHAnsi"/>
          <w:bCs/>
          <w:i/>
          <w:iCs/>
          <w:sz w:val="24"/>
          <w:szCs w:val="24"/>
        </w:rPr>
        <w:t>A respectful and inclusive narrative about diversity.</w:t>
      </w:r>
      <w:r w:rsidR="004967C1" w:rsidRPr="003D76C4">
        <w:rPr>
          <w:rFonts w:cstheme="minorHAnsi"/>
          <w:bCs/>
          <w:i/>
          <w:iCs/>
          <w:sz w:val="24"/>
          <w:szCs w:val="24"/>
        </w:rPr>
        <w:t xml:space="preserve"> </w:t>
      </w:r>
    </w:p>
    <w:p w14:paraId="0FBFDFE4" w14:textId="5DEC1686" w:rsidR="00583048" w:rsidRPr="003D76C4" w:rsidRDefault="00583048" w:rsidP="00497F78">
      <w:pPr>
        <w:pStyle w:val="ListParagraph"/>
        <w:spacing w:after="0"/>
        <w:ind w:left="0"/>
        <w:rPr>
          <w:rFonts w:cstheme="minorHAnsi"/>
          <w:bCs/>
          <w:i/>
          <w:iCs/>
          <w:sz w:val="24"/>
          <w:szCs w:val="24"/>
        </w:rPr>
      </w:pPr>
    </w:p>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405"/>
        <w:gridCol w:w="1347"/>
        <w:gridCol w:w="10196"/>
      </w:tblGrid>
      <w:tr w:rsidR="00AA6C62" w:rsidRPr="00A53C4E" w14:paraId="4CB6134A" w14:textId="33935701" w:rsidTr="00306116">
        <w:trPr>
          <w:trHeight w:val="1089"/>
          <w:tblHeader/>
        </w:trPr>
        <w:tc>
          <w:tcPr>
            <w:tcW w:w="862" w:type="pct"/>
            <w:shd w:val="clear" w:color="auto" w:fill="D9D9D9" w:themeFill="background1" w:themeFillShade="D9"/>
          </w:tcPr>
          <w:p w14:paraId="6C5FBBFC" w14:textId="77777777" w:rsidR="008D70D2" w:rsidRDefault="008D70D2" w:rsidP="00306116">
            <w:pPr>
              <w:autoSpaceDE w:val="0"/>
              <w:autoSpaceDN w:val="0"/>
              <w:adjustRightInd w:val="0"/>
              <w:rPr>
                <w:rFonts w:ascii="Arial" w:hAnsi="Arial" w:cs="Arial"/>
                <w:b/>
                <w:sz w:val="20"/>
                <w:szCs w:val="20"/>
              </w:rPr>
            </w:pPr>
            <w:bookmarkStart w:id="1" w:name="_Hlk142393566"/>
            <w:r w:rsidRPr="00A53C4E">
              <w:rPr>
                <w:rFonts w:ascii="Arial" w:hAnsi="Arial" w:cs="Arial"/>
                <w:b/>
                <w:sz w:val="20"/>
                <w:szCs w:val="20"/>
              </w:rPr>
              <w:t xml:space="preserve">Agency activities supporting </w:t>
            </w:r>
          </w:p>
          <w:p w14:paraId="4F065B84" w14:textId="77777777" w:rsidR="00306116" w:rsidRDefault="00306116" w:rsidP="00306116">
            <w:pPr>
              <w:autoSpaceDE w:val="0"/>
              <w:autoSpaceDN w:val="0"/>
              <w:adjustRightInd w:val="0"/>
              <w:rPr>
                <w:rFonts w:ascii="Arial" w:hAnsi="Arial" w:cs="Arial"/>
                <w:b/>
                <w:sz w:val="20"/>
                <w:szCs w:val="20"/>
              </w:rPr>
            </w:pPr>
          </w:p>
          <w:p w14:paraId="3FA9AD23" w14:textId="6A9189C8" w:rsidR="008D70D2" w:rsidRPr="00A53C4E" w:rsidRDefault="008D70D2" w:rsidP="00306116">
            <w:pPr>
              <w:autoSpaceDE w:val="0"/>
              <w:autoSpaceDN w:val="0"/>
              <w:adjustRightInd w:val="0"/>
              <w:rPr>
                <w:rFonts w:ascii="Arial" w:hAnsi="Arial" w:cs="Arial"/>
                <w:b/>
                <w:sz w:val="20"/>
                <w:szCs w:val="20"/>
              </w:rPr>
            </w:pPr>
            <w:r w:rsidRPr="00A53C4E">
              <w:rPr>
                <w:rFonts w:ascii="Arial" w:hAnsi="Arial" w:cs="Arial"/>
                <w:b/>
                <w:color w:val="C00000"/>
                <w:sz w:val="20"/>
                <w:szCs w:val="20"/>
              </w:rPr>
              <w:t>Key Action 2</w:t>
            </w:r>
          </w:p>
        </w:tc>
        <w:tc>
          <w:tcPr>
            <w:tcW w:w="483" w:type="pct"/>
            <w:tcBorders>
              <w:bottom w:val="single" w:sz="4" w:space="0" w:color="C0504D"/>
            </w:tcBorders>
            <w:shd w:val="clear" w:color="auto" w:fill="D9D9D9" w:themeFill="background1" w:themeFillShade="D9"/>
          </w:tcPr>
          <w:p w14:paraId="724B1C5F" w14:textId="7C61FB3B" w:rsidR="008D70D2" w:rsidRPr="00A53C4E" w:rsidRDefault="008D70D2" w:rsidP="005E26B8">
            <w:pPr>
              <w:autoSpaceDE w:val="0"/>
              <w:autoSpaceDN w:val="0"/>
              <w:adjustRightInd w:val="0"/>
              <w:spacing w:after="120"/>
              <w:rPr>
                <w:rFonts w:ascii="Arial" w:hAnsi="Arial" w:cs="Arial"/>
                <w:b/>
                <w:sz w:val="20"/>
                <w:szCs w:val="20"/>
              </w:rPr>
            </w:pPr>
            <w:r w:rsidRPr="00A53C4E">
              <w:rPr>
                <w:rFonts w:ascii="Arial" w:hAnsi="Arial" w:cs="Arial"/>
                <w:b/>
                <w:sz w:val="20"/>
                <w:szCs w:val="20"/>
              </w:rPr>
              <w:t>Progress status for 2023-24</w:t>
            </w:r>
          </w:p>
        </w:tc>
        <w:tc>
          <w:tcPr>
            <w:tcW w:w="3655" w:type="pct"/>
            <w:tcBorders>
              <w:bottom w:val="single" w:sz="4" w:space="0" w:color="C0504D"/>
            </w:tcBorders>
            <w:shd w:val="clear" w:color="auto" w:fill="D9D9D9" w:themeFill="background1" w:themeFillShade="D9"/>
          </w:tcPr>
          <w:p w14:paraId="50D945DB" w14:textId="77777777" w:rsidR="008D70D2" w:rsidRPr="00A53C4E" w:rsidRDefault="008D70D2" w:rsidP="005E26B8">
            <w:pPr>
              <w:autoSpaceDE w:val="0"/>
              <w:autoSpaceDN w:val="0"/>
              <w:adjustRightInd w:val="0"/>
              <w:spacing w:after="120"/>
              <w:rPr>
                <w:rFonts w:ascii="Arial" w:hAnsi="Arial" w:cs="Arial"/>
                <w:b/>
                <w:sz w:val="20"/>
                <w:szCs w:val="20"/>
              </w:rPr>
            </w:pPr>
            <w:r w:rsidRPr="00A53C4E">
              <w:rPr>
                <w:rFonts w:ascii="Arial" w:hAnsi="Arial" w:cs="Arial"/>
                <w:b/>
                <w:sz w:val="20"/>
                <w:szCs w:val="20"/>
              </w:rPr>
              <w:t>Outcomes achieved for people from culturally and linguistically diverse backgrounds.</w:t>
            </w:r>
          </w:p>
          <w:p w14:paraId="367DA1CC" w14:textId="4529094B" w:rsidR="008D70D2" w:rsidRPr="00A53C4E" w:rsidRDefault="008D70D2" w:rsidP="005E26B8">
            <w:pPr>
              <w:autoSpaceDE w:val="0"/>
              <w:autoSpaceDN w:val="0"/>
              <w:adjustRightInd w:val="0"/>
              <w:spacing w:after="120"/>
              <w:rPr>
                <w:rFonts w:ascii="Arial" w:hAnsi="Arial" w:cs="Arial"/>
                <w:b/>
                <w:sz w:val="20"/>
                <w:szCs w:val="20"/>
              </w:rPr>
            </w:pPr>
          </w:p>
        </w:tc>
      </w:tr>
      <w:tr w:rsidR="00AA6C62" w:rsidRPr="00A53C4E" w14:paraId="5E744CAD" w14:textId="4F003E56" w:rsidTr="006D19EE">
        <w:trPr>
          <w:trHeight w:val="465"/>
        </w:trPr>
        <w:tc>
          <w:tcPr>
            <w:tcW w:w="862" w:type="pct"/>
            <w:shd w:val="clear" w:color="auto" w:fill="auto"/>
          </w:tcPr>
          <w:p w14:paraId="4F6A8EED" w14:textId="2D0DD0DA" w:rsidR="008D70D2" w:rsidRPr="006E75ED" w:rsidRDefault="008D70D2" w:rsidP="005E26B8">
            <w:pPr>
              <w:autoSpaceDE w:val="0"/>
              <w:autoSpaceDN w:val="0"/>
              <w:adjustRightInd w:val="0"/>
              <w:spacing w:before="120"/>
              <w:rPr>
                <w:rFonts w:ascii="Arial" w:hAnsi="Arial" w:cs="Arial"/>
                <w:sz w:val="18"/>
                <w:szCs w:val="18"/>
              </w:rPr>
            </w:pPr>
            <w:bookmarkStart w:id="2" w:name="_Hlk175235333"/>
            <w:bookmarkEnd w:id="1"/>
            <w:r w:rsidRPr="006E75ED">
              <w:rPr>
                <w:rFonts w:ascii="Arial" w:hAnsi="Arial" w:cs="Arial"/>
                <w:sz w:val="18"/>
                <w:szCs w:val="18"/>
              </w:rPr>
              <w:t>Ensure targeted recruitment or career development initiatives are undertaken in partnership with community including, for example, where agencies are focusing on attracting applicants from specific cultural groups for positions.</w:t>
            </w:r>
            <w:bookmarkEnd w:id="2"/>
          </w:p>
        </w:tc>
        <w:tc>
          <w:tcPr>
            <w:tcW w:w="483" w:type="pct"/>
            <w:shd w:val="clear" w:color="auto" w:fill="auto"/>
          </w:tcPr>
          <w:p w14:paraId="25D58ECF" w14:textId="525655CA" w:rsidR="008D70D2" w:rsidRPr="0044605A" w:rsidRDefault="00306116" w:rsidP="005E26B8">
            <w:pPr>
              <w:autoSpaceDE w:val="0"/>
              <w:autoSpaceDN w:val="0"/>
              <w:adjustRightInd w:val="0"/>
              <w:rPr>
                <w:rFonts w:ascii="Arial" w:hAnsi="Arial" w:cs="Arial"/>
                <w:b/>
              </w:rPr>
            </w:pPr>
            <w:sdt>
              <w:sdtPr>
                <w:rPr>
                  <w:rFonts w:ascii="Arial" w:eastAsiaTheme="majorEastAsia" w:hAnsi="Arial" w:cs="Arial"/>
                  <w:b/>
                  <w:sz w:val="18"/>
                  <w:szCs w:val="18"/>
                </w:rPr>
                <w:alias w:val="Final Status"/>
                <w:tag w:val="Final Status"/>
                <w:id w:val="-1945683436"/>
                <w:placeholder>
                  <w:docPart w:val="EBB2D1697538424BB372533BFF5E2691"/>
                </w:placeholder>
                <w:dropDownList>
                  <w:listItem w:displayText="Choose a final status" w:value="Choose a final status"/>
                  <w:listItem w:displayText="Delivered" w:value="Delivered"/>
                  <w:listItem w:displayText="Not delivered" w:value="Not delivered"/>
                </w:dropDownList>
              </w:sdtPr>
              <w:sdtEndPr/>
              <w:sdtContent>
                <w:r w:rsidR="008D70D2" w:rsidRPr="0044605A">
                  <w:rPr>
                    <w:rFonts w:ascii="Arial" w:eastAsiaTheme="majorEastAsia" w:hAnsi="Arial" w:cs="Arial"/>
                    <w:b/>
                    <w:sz w:val="18"/>
                    <w:szCs w:val="18"/>
                  </w:rPr>
                  <w:t>Delivered</w:t>
                </w:r>
              </w:sdtContent>
            </w:sdt>
          </w:p>
          <w:p w14:paraId="0CD46BD3" w14:textId="7A6CC3A4" w:rsidR="008D70D2" w:rsidRPr="006E75ED" w:rsidRDefault="008D70D2" w:rsidP="005E26B8">
            <w:pPr>
              <w:autoSpaceDE w:val="0"/>
              <w:autoSpaceDN w:val="0"/>
              <w:adjustRightInd w:val="0"/>
              <w:rPr>
                <w:rFonts w:ascii="Arial" w:hAnsi="Arial" w:cs="Arial"/>
                <w:b/>
                <w:sz w:val="18"/>
                <w:szCs w:val="18"/>
              </w:rPr>
            </w:pPr>
          </w:p>
        </w:tc>
        <w:tc>
          <w:tcPr>
            <w:tcW w:w="3655" w:type="pct"/>
            <w:shd w:val="clear" w:color="auto" w:fill="auto"/>
          </w:tcPr>
          <w:p w14:paraId="5A64A55D" w14:textId="5DA5F4FB" w:rsidR="008D70D2" w:rsidRPr="008D70D2" w:rsidRDefault="008D70D2" w:rsidP="000E4A17">
            <w:pPr>
              <w:autoSpaceDE w:val="0"/>
              <w:autoSpaceDN w:val="0"/>
              <w:adjustRightInd w:val="0"/>
              <w:rPr>
                <w:rFonts w:ascii="Arial" w:hAnsi="Arial" w:cs="Arial"/>
                <w:sz w:val="18"/>
                <w:szCs w:val="18"/>
              </w:rPr>
            </w:pPr>
            <w:r w:rsidRPr="00497F78">
              <w:rPr>
                <w:rFonts w:ascii="Arial" w:hAnsi="Arial" w:cs="Arial"/>
                <w:sz w:val="18"/>
                <w:szCs w:val="18"/>
              </w:rPr>
              <w:t>As of 30 June 2024, 3.6% of Queensland Corrective Services (QCS) employees were born overseas, and 2.6% of employees speak a language other than English at home</w:t>
            </w:r>
            <w:r w:rsidRPr="008D70D2">
              <w:rPr>
                <w:rFonts w:ascii="Arial" w:hAnsi="Arial" w:cs="Arial"/>
                <w:sz w:val="18"/>
                <w:szCs w:val="18"/>
              </w:rPr>
              <w:t>.</w:t>
            </w:r>
          </w:p>
          <w:p w14:paraId="6424DB2B" w14:textId="77777777" w:rsidR="008D70D2" w:rsidRPr="00497F78" w:rsidRDefault="008D70D2" w:rsidP="00B35FC0">
            <w:pPr>
              <w:pStyle w:val="ListParagraph"/>
              <w:autoSpaceDE w:val="0"/>
              <w:autoSpaceDN w:val="0"/>
              <w:adjustRightInd w:val="0"/>
              <w:ind w:left="0"/>
              <w:rPr>
                <w:rFonts w:ascii="Arial" w:hAnsi="Arial" w:cs="Arial"/>
                <w:color w:val="FF0000"/>
                <w:sz w:val="18"/>
                <w:szCs w:val="18"/>
              </w:rPr>
            </w:pPr>
          </w:p>
          <w:p w14:paraId="467DFFA7" w14:textId="378A4746" w:rsidR="008D70D2" w:rsidRPr="00497F78" w:rsidRDefault="008D70D2" w:rsidP="000E4A17">
            <w:pPr>
              <w:autoSpaceDE w:val="0"/>
              <w:autoSpaceDN w:val="0"/>
              <w:adjustRightInd w:val="0"/>
              <w:rPr>
                <w:rFonts w:ascii="Arial" w:hAnsi="Arial" w:cs="Arial"/>
                <w:bCs/>
                <w:sz w:val="18"/>
                <w:szCs w:val="18"/>
              </w:rPr>
            </w:pPr>
            <w:r w:rsidRPr="00497F78">
              <w:rPr>
                <w:rFonts w:ascii="Arial" w:hAnsi="Arial" w:cs="Arial"/>
                <w:bCs/>
                <w:sz w:val="18"/>
                <w:szCs w:val="18"/>
              </w:rPr>
              <w:t xml:space="preserve">QCS has developed the QCS Workforce Strategy 2022-2027, which maps the overarching priorities and strategies for developing the systems necessary to support, strengthen and enable its workforce to deliver professional, ethical, and sustainable corrective services now and into the future. The QCS Workforce Strategy will be reviewed in </w:t>
            </w:r>
            <w:r w:rsidRPr="00497F78">
              <w:rPr>
                <w:rFonts w:ascii="Arial" w:hAnsi="Arial" w:cs="Arial"/>
                <w:sz w:val="18"/>
                <w:szCs w:val="18"/>
              </w:rPr>
              <w:t xml:space="preserve">2024-25 </w:t>
            </w:r>
            <w:r w:rsidRPr="00497F78">
              <w:rPr>
                <w:rFonts w:ascii="Arial" w:hAnsi="Arial" w:cs="Arial"/>
                <w:bCs/>
                <w:sz w:val="18"/>
                <w:szCs w:val="18"/>
              </w:rPr>
              <w:t xml:space="preserve">to ensure it reflects the </w:t>
            </w:r>
            <w:r w:rsidRPr="00497F78">
              <w:rPr>
                <w:rFonts w:ascii="Arial" w:hAnsi="Arial" w:cs="Arial"/>
                <w:bCs/>
                <w:i/>
                <w:iCs/>
                <w:sz w:val="18"/>
                <w:szCs w:val="18"/>
              </w:rPr>
              <w:t xml:space="preserve">Public Sector Act 2022. </w:t>
            </w:r>
            <w:r w:rsidRPr="00497F78">
              <w:rPr>
                <w:rFonts w:ascii="Arial" w:hAnsi="Arial" w:cs="Arial"/>
                <w:bCs/>
                <w:sz w:val="18"/>
                <w:szCs w:val="18"/>
              </w:rPr>
              <w:t xml:space="preserve">QCS is committed to fulfilling the purpose of Chapter 2 of the Act in developing an inclusive, respectful, and diverse workforce. </w:t>
            </w:r>
          </w:p>
          <w:p w14:paraId="2A462D06" w14:textId="77777777" w:rsidR="008D70D2" w:rsidRPr="00497F78" w:rsidRDefault="008D70D2">
            <w:pPr>
              <w:pStyle w:val="ListParagraph"/>
              <w:autoSpaceDE w:val="0"/>
              <w:autoSpaceDN w:val="0"/>
              <w:adjustRightInd w:val="0"/>
              <w:ind w:left="0"/>
              <w:rPr>
                <w:rFonts w:ascii="Arial" w:hAnsi="Arial" w:cs="Arial"/>
                <w:sz w:val="18"/>
                <w:szCs w:val="18"/>
              </w:rPr>
            </w:pPr>
          </w:p>
          <w:p w14:paraId="2597583D" w14:textId="68E5FF58" w:rsidR="008D70D2" w:rsidRPr="00497F78" w:rsidRDefault="008D70D2">
            <w:pPr>
              <w:pStyle w:val="ListParagraph"/>
              <w:autoSpaceDE w:val="0"/>
              <w:autoSpaceDN w:val="0"/>
              <w:adjustRightInd w:val="0"/>
              <w:ind w:left="0"/>
              <w:rPr>
                <w:rFonts w:ascii="Arial" w:hAnsi="Arial" w:cs="Arial"/>
                <w:color w:val="FF0000"/>
                <w:sz w:val="18"/>
                <w:szCs w:val="18"/>
              </w:rPr>
            </w:pPr>
            <w:r w:rsidRPr="00497F78">
              <w:rPr>
                <w:rFonts w:ascii="Arial" w:hAnsi="Arial" w:cs="Arial"/>
                <w:sz w:val="18"/>
                <w:szCs w:val="18"/>
              </w:rPr>
              <w:t xml:space="preserve">In 2023-24, </w:t>
            </w:r>
            <w:r w:rsidRPr="00497F78">
              <w:rPr>
                <w:rFonts w:ascii="Arial" w:hAnsi="Arial" w:cs="Arial"/>
                <w:bCs/>
                <w:sz w:val="18"/>
                <w:szCs w:val="18"/>
              </w:rPr>
              <w:t>QCS continued to work in partnership with Multicultural Australia, which facilitates pathways to employment for migrants, refugees, and asylum seekers in both custodial and non-custodial workplaces.</w:t>
            </w:r>
          </w:p>
          <w:p w14:paraId="466DEC18" w14:textId="53615C5A" w:rsidR="008D70D2" w:rsidRPr="00497F78" w:rsidRDefault="008D70D2">
            <w:pPr>
              <w:pStyle w:val="ListParagraph"/>
              <w:autoSpaceDE w:val="0"/>
              <w:autoSpaceDN w:val="0"/>
              <w:adjustRightInd w:val="0"/>
              <w:ind w:left="0"/>
              <w:rPr>
                <w:rFonts w:ascii="Arial" w:hAnsi="Arial" w:cs="Arial"/>
                <w:color w:val="FF0000"/>
                <w:sz w:val="18"/>
                <w:szCs w:val="18"/>
              </w:rPr>
            </w:pPr>
          </w:p>
          <w:p w14:paraId="0642C06F" w14:textId="6B066124" w:rsidR="008D70D2" w:rsidRPr="00497F78" w:rsidRDefault="008D70D2" w:rsidP="0097236B">
            <w:pPr>
              <w:autoSpaceDE w:val="0"/>
              <w:autoSpaceDN w:val="0"/>
              <w:adjustRightInd w:val="0"/>
              <w:rPr>
                <w:rFonts w:ascii="Arial" w:hAnsi="Arial" w:cs="Arial"/>
                <w:bCs/>
                <w:sz w:val="18"/>
                <w:szCs w:val="18"/>
              </w:rPr>
            </w:pPr>
            <w:r w:rsidRPr="00497F78">
              <w:rPr>
                <w:rFonts w:ascii="Arial" w:hAnsi="Arial" w:cs="Arial"/>
                <w:bCs/>
                <w:sz w:val="18"/>
                <w:szCs w:val="18"/>
              </w:rPr>
              <w:t xml:space="preserve">QCS is also proud to </w:t>
            </w:r>
            <w:proofErr w:type="spellStart"/>
            <w:r w:rsidRPr="00497F78">
              <w:rPr>
                <w:rFonts w:ascii="Arial" w:hAnsi="Arial" w:cs="Arial"/>
                <w:bCs/>
                <w:sz w:val="18"/>
                <w:szCs w:val="18"/>
              </w:rPr>
              <w:t>featured</w:t>
            </w:r>
            <w:proofErr w:type="spellEnd"/>
            <w:r w:rsidRPr="00497F78">
              <w:rPr>
                <w:rFonts w:ascii="Arial" w:hAnsi="Arial" w:cs="Arial"/>
                <w:bCs/>
                <w:sz w:val="18"/>
                <w:szCs w:val="18"/>
              </w:rPr>
              <w:t xml:space="preserve"> on the Queensland Government #BeHere4Queensland website to champion both Custodial Correctional Officers and the Community Corrections workforce to further enhance attraction and recruitment processes. </w:t>
            </w:r>
          </w:p>
          <w:p w14:paraId="49DD180C" w14:textId="77777777" w:rsidR="008D70D2" w:rsidRPr="00497F78" w:rsidRDefault="008D70D2" w:rsidP="0097236B">
            <w:pPr>
              <w:autoSpaceDE w:val="0"/>
              <w:autoSpaceDN w:val="0"/>
              <w:adjustRightInd w:val="0"/>
              <w:rPr>
                <w:rFonts w:ascii="Arial" w:hAnsi="Arial" w:cs="Arial"/>
                <w:bCs/>
                <w:sz w:val="18"/>
                <w:szCs w:val="18"/>
              </w:rPr>
            </w:pPr>
          </w:p>
          <w:p w14:paraId="576446E7" w14:textId="55261487" w:rsidR="008D70D2" w:rsidRPr="00497F78" w:rsidRDefault="008D70D2" w:rsidP="000E4A17">
            <w:pPr>
              <w:autoSpaceDE w:val="0"/>
              <w:autoSpaceDN w:val="0"/>
              <w:adjustRightInd w:val="0"/>
              <w:rPr>
                <w:rFonts w:ascii="Arial" w:hAnsi="Arial" w:cs="Arial"/>
                <w:sz w:val="18"/>
                <w:szCs w:val="18"/>
              </w:rPr>
            </w:pPr>
            <w:r w:rsidRPr="00497F78">
              <w:rPr>
                <w:rFonts w:ascii="Arial" w:hAnsi="Arial" w:cs="Arial"/>
                <w:bCs/>
                <w:sz w:val="18"/>
                <w:szCs w:val="18"/>
              </w:rPr>
              <w:t>QCS will continue to encourage individuals from culturally and linguistically diverse backgrounds to apply through recruitment processes.</w:t>
            </w:r>
          </w:p>
        </w:tc>
      </w:tr>
    </w:tbl>
    <w:p w14:paraId="60450B61" w14:textId="511FE337" w:rsidR="004217EC" w:rsidRPr="003D76C4" w:rsidRDefault="004217EC" w:rsidP="00497F78">
      <w:pPr>
        <w:pStyle w:val="Heading1"/>
        <w:spacing w:after="240"/>
        <w:rPr>
          <w:rFonts w:ascii="Arial" w:hAnsi="Arial" w:cs="Arial"/>
          <w:b/>
          <w:color w:val="auto"/>
          <w:sz w:val="28"/>
          <w:szCs w:val="28"/>
        </w:rPr>
      </w:pPr>
      <w:r w:rsidRPr="00495473">
        <w:rPr>
          <w:rFonts w:ascii="Wingdings" w:hAnsi="Wingdings" w:cs="Arial"/>
          <w:b/>
          <w:bCs/>
          <w:color w:val="00B050"/>
        </w:rPr>
        <w:lastRenderedPageBreak/>
        <w:sym w:font="Wingdings" w:char="F06C"/>
      </w:r>
      <w:r>
        <w:rPr>
          <w:rFonts w:ascii="Wingdings" w:hAnsi="Wingdings" w:cs="Arial"/>
          <w:b/>
          <w:bCs/>
          <w:color w:val="00B050"/>
        </w:rPr>
        <w:t xml:space="preserve"> </w:t>
      </w:r>
      <w:r w:rsidRPr="00F57859">
        <w:rPr>
          <w:rFonts w:ascii="Arial" w:hAnsi="Arial" w:cs="Arial"/>
          <w:b/>
          <w:color w:val="00B050"/>
          <w:sz w:val="28"/>
          <w:szCs w:val="28"/>
          <w:u w:val="single"/>
        </w:rPr>
        <w:t>KEY ACTION 3</w:t>
      </w:r>
      <w:r w:rsidRPr="00182982">
        <w:rPr>
          <w:rFonts w:ascii="Arial" w:hAnsi="Arial" w:cs="Arial"/>
          <w:b/>
          <w:color w:val="00B050"/>
          <w:sz w:val="28"/>
          <w:szCs w:val="28"/>
        </w:rPr>
        <w:t xml:space="preserve">: </w:t>
      </w:r>
      <w:r w:rsidRPr="00182982">
        <w:rPr>
          <w:rFonts w:ascii="Arial" w:hAnsi="Arial" w:cs="Arial"/>
          <w:b/>
          <w:color w:val="auto"/>
          <w:sz w:val="28"/>
          <w:szCs w:val="28"/>
        </w:rPr>
        <w:t>Culturally responsive services</w:t>
      </w:r>
    </w:p>
    <w:p w14:paraId="53D261ED" w14:textId="77777777" w:rsidR="004217EC" w:rsidRPr="00182982" w:rsidRDefault="004217EC" w:rsidP="00497F78">
      <w:pPr>
        <w:spacing w:after="240"/>
        <w:rPr>
          <w:rFonts w:cstheme="minorHAnsi"/>
          <w:bCs/>
          <w:sz w:val="24"/>
          <w:szCs w:val="24"/>
        </w:rPr>
      </w:pPr>
      <w:r w:rsidRPr="00182982">
        <w:rPr>
          <w:rFonts w:cstheme="minorHAnsi"/>
          <w:bCs/>
          <w:sz w:val="24"/>
          <w:szCs w:val="24"/>
        </w:rPr>
        <w:t xml:space="preserve">Over the next two years, Queensland Government agencies will improve their cultural responsiveness by undertaking an </w:t>
      </w:r>
      <w:r w:rsidRPr="00182982">
        <w:rPr>
          <w:rFonts w:cstheme="minorHAnsi"/>
          <w:b/>
          <w:sz w:val="24"/>
          <w:szCs w:val="24"/>
        </w:rPr>
        <w:t>audit of critical areas of service delivery</w:t>
      </w:r>
      <w:r w:rsidRPr="00182982">
        <w:rPr>
          <w:rFonts w:cstheme="minorHAnsi"/>
          <w:bCs/>
          <w:sz w:val="24"/>
          <w:szCs w:val="24"/>
        </w:rPr>
        <w:t xml:space="preserve"> (funded or directly delivered).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4903AB32" w14:textId="77777777" w:rsidR="004217EC" w:rsidRPr="00182982" w:rsidRDefault="004217EC" w:rsidP="004217EC">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2CCB7ECC" w14:textId="77777777" w:rsidR="004217EC" w:rsidRPr="00182982" w:rsidRDefault="004217EC" w:rsidP="004217EC">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53CABE49" w14:textId="25515667" w:rsidR="004217EC" w:rsidRDefault="004217EC" w:rsidP="004217EC">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296CC33E" w14:textId="77777777" w:rsidR="006D19EE" w:rsidRPr="003D76C4" w:rsidRDefault="006D19EE" w:rsidP="00497F78">
      <w:pPr>
        <w:pStyle w:val="ListParagraph"/>
        <w:spacing w:after="0"/>
        <w:rPr>
          <w:rFonts w:cstheme="minorHAnsi"/>
          <w:bCs/>
          <w:i/>
          <w:iCs/>
          <w:sz w:val="24"/>
          <w:szCs w:val="24"/>
        </w:rPr>
      </w:pPr>
    </w:p>
    <w:tbl>
      <w:tblPr>
        <w:tblStyle w:val="TableGrid"/>
        <w:tblW w:w="498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409"/>
        <w:gridCol w:w="1417"/>
        <w:gridCol w:w="10066"/>
      </w:tblGrid>
      <w:tr w:rsidR="00AA6C62" w:rsidRPr="0054491B" w14:paraId="043619B0" w14:textId="77777777" w:rsidTr="006D19EE">
        <w:trPr>
          <w:trHeight w:val="1188"/>
          <w:tblHeader/>
        </w:trPr>
        <w:tc>
          <w:tcPr>
            <w:tcW w:w="867" w:type="pct"/>
            <w:shd w:val="clear" w:color="auto" w:fill="D9D9D9" w:themeFill="background1" w:themeFillShade="D9"/>
          </w:tcPr>
          <w:p w14:paraId="58233284" w14:textId="77777777" w:rsidR="00306116" w:rsidRDefault="006D19EE" w:rsidP="00357D10">
            <w:pPr>
              <w:autoSpaceDE w:val="0"/>
              <w:autoSpaceDN w:val="0"/>
              <w:adjustRightInd w:val="0"/>
              <w:spacing w:after="120"/>
              <w:rPr>
                <w:rFonts w:ascii="Arial" w:hAnsi="Arial" w:cs="Arial"/>
                <w:b/>
                <w:sz w:val="20"/>
                <w:szCs w:val="20"/>
              </w:rPr>
            </w:pPr>
            <w:r w:rsidRPr="00C04962">
              <w:rPr>
                <w:rFonts w:ascii="Arial" w:hAnsi="Arial" w:cs="Arial"/>
                <w:b/>
                <w:sz w:val="20"/>
                <w:szCs w:val="20"/>
              </w:rPr>
              <w:t>Agency activities supporting</w:t>
            </w:r>
          </w:p>
          <w:p w14:paraId="23F2EBB6" w14:textId="396E50EC" w:rsidR="006D19EE" w:rsidRPr="00C04962" w:rsidRDefault="006D19EE" w:rsidP="00357D10">
            <w:pPr>
              <w:autoSpaceDE w:val="0"/>
              <w:autoSpaceDN w:val="0"/>
              <w:adjustRightInd w:val="0"/>
              <w:spacing w:after="120"/>
              <w:rPr>
                <w:rFonts w:ascii="Arial" w:hAnsi="Arial" w:cs="Arial"/>
                <w:b/>
                <w:sz w:val="20"/>
                <w:szCs w:val="20"/>
              </w:rPr>
            </w:pPr>
            <w:r>
              <w:rPr>
                <w:rFonts w:ascii="Arial" w:hAnsi="Arial" w:cs="Arial"/>
                <w:b/>
                <w:sz w:val="20"/>
                <w:szCs w:val="20"/>
              </w:rPr>
              <w:br/>
            </w:r>
            <w:r w:rsidRPr="00C04962">
              <w:rPr>
                <w:rFonts w:ascii="Arial" w:hAnsi="Arial" w:cs="Arial"/>
                <w:b/>
                <w:color w:val="00B050"/>
                <w:sz w:val="20"/>
                <w:szCs w:val="20"/>
              </w:rPr>
              <w:t>Key Action 3</w:t>
            </w:r>
          </w:p>
        </w:tc>
        <w:tc>
          <w:tcPr>
            <w:tcW w:w="510" w:type="pct"/>
            <w:tcBorders>
              <w:bottom w:val="single" w:sz="4" w:space="0" w:color="C0504D"/>
            </w:tcBorders>
            <w:shd w:val="clear" w:color="auto" w:fill="D9D9D9" w:themeFill="background1" w:themeFillShade="D9"/>
          </w:tcPr>
          <w:p w14:paraId="39495BE4" w14:textId="77777777" w:rsidR="006D19EE" w:rsidRPr="00C04962" w:rsidRDefault="006D19EE" w:rsidP="00357D10">
            <w:pPr>
              <w:autoSpaceDE w:val="0"/>
              <w:autoSpaceDN w:val="0"/>
              <w:adjustRightInd w:val="0"/>
              <w:spacing w:after="120"/>
              <w:rPr>
                <w:rFonts w:ascii="Arial" w:hAnsi="Arial" w:cs="Arial"/>
                <w:b/>
                <w:sz w:val="20"/>
                <w:szCs w:val="20"/>
              </w:rPr>
            </w:pPr>
            <w:r w:rsidRPr="00C04962">
              <w:rPr>
                <w:rFonts w:ascii="Arial" w:hAnsi="Arial" w:cs="Arial"/>
                <w:b/>
                <w:sz w:val="20"/>
                <w:szCs w:val="20"/>
              </w:rPr>
              <w:t>Progress status for 202</w:t>
            </w:r>
            <w:r>
              <w:rPr>
                <w:rFonts w:ascii="Arial" w:hAnsi="Arial" w:cs="Arial"/>
                <w:b/>
                <w:sz w:val="20"/>
                <w:szCs w:val="20"/>
              </w:rPr>
              <w:t>3</w:t>
            </w:r>
            <w:r w:rsidRPr="00C04962">
              <w:rPr>
                <w:rFonts w:ascii="Arial" w:hAnsi="Arial" w:cs="Arial"/>
                <w:b/>
                <w:sz w:val="20"/>
                <w:szCs w:val="20"/>
              </w:rPr>
              <w:t>-2</w:t>
            </w:r>
            <w:r>
              <w:rPr>
                <w:rFonts w:ascii="Arial" w:hAnsi="Arial" w:cs="Arial"/>
                <w:b/>
                <w:sz w:val="20"/>
                <w:szCs w:val="20"/>
              </w:rPr>
              <w:t>4</w:t>
            </w:r>
          </w:p>
        </w:tc>
        <w:tc>
          <w:tcPr>
            <w:tcW w:w="3622" w:type="pct"/>
            <w:tcBorders>
              <w:bottom w:val="single" w:sz="4" w:space="0" w:color="C0504D"/>
            </w:tcBorders>
            <w:shd w:val="clear" w:color="auto" w:fill="D9D9D9" w:themeFill="background1" w:themeFillShade="D9"/>
          </w:tcPr>
          <w:p w14:paraId="78387F7D" w14:textId="77777777" w:rsidR="006D19EE" w:rsidRDefault="006D19EE" w:rsidP="00357D10">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2A7FCF07" w14:textId="5FF6585D" w:rsidR="006D19EE" w:rsidRPr="00C04962" w:rsidRDefault="006D19EE" w:rsidP="00357D10">
            <w:pPr>
              <w:autoSpaceDE w:val="0"/>
              <w:autoSpaceDN w:val="0"/>
              <w:adjustRightInd w:val="0"/>
              <w:spacing w:after="120"/>
              <w:rPr>
                <w:rFonts w:ascii="Arial" w:hAnsi="Arial" w:cs="Arial"/>
                <w:b/>
                <w:sz w:val="20"/>
                <w:szCs w:val="20"/>
              </w:rPr>
            </w:pPr>
          </w:p>
        </w:tc>
      </w:tr>
      <w:tr w:rsidR="00AA6C62" w:rsidRPr="00FD4ED2" w14:paraId="7379F3E0" w14:textId="77777777" w:rsidTr="006D19EE">
        <w:trPr>
          <w:trHeight w:val="680"/>
        </w:trPr>
        <w:tc>
          <w:tcPr>
            <w:tcW w:w="867" w:type="pct"/>
            <w:shd w:val="clear" w:color="auto" w:fill="auto"/>
          </w:tcPr>
          <w:p w14:paraId="2A8415C2" w14:textId="6788935A" w:rsidR="006D19EE" w:rsidRPr="002E5AB7" w:rsidDel="002F7E06" w:rsidRDefault="006D19EE" w:rsidP="00357D10">
            <w:pPr>
              <w:autoSpaceDE w:val="0"/>
              <w:autoSpaceDN w:val="0"/>
              <w:adjustRightInd w:val="0"/>
              <w:spacing w:before="120"/>
              <w:rPr>
                <w:rFonts w:ascii="Arial" w:hAnsi="Arial" w:cs="Arial"/>
                <w:sz w:val="18"/>
                <w:szCs w:val="18"/>
              </w:rPr>
            </w:pPr>
            <w:r w:rsidRPr="004217EC">
              <w:rPr>
                <w:rFonts w:ascii="Arial" w:hAnsi="Arial" w:cs="Arial"/>
                <w:sz w:val="18"/>
                <w:szCs w:val="18"/>
              </w:rPr>
              <w:t>Queensland Corrective Services will review the information and mechanisms of providing information to eligible persons and stakeholders from the QCS Victims Register.</w:t>
            </w:r>
          </w:p>
        </w:tc>
        <w:tc>
          <w:tcPr>
            <w:tcW w:w="510" w:type="pct"/>
            <w:shd w:val="clear" w:color="auto" w:fill="auto"/>
          </w:tcPr>
          <w:p w14:paraId="28437C62" w14:textId="30EE5955" w:rsidR="006D19EE" w:rsidRDefault="00306116" w:rsidP="00357D10">
            <w:pPr>
              <w:autoSpaceDE w:val="0"/>
              <w:autoSpaceDN w:val="0"/>
              <w:adjustRightInd w:val="0"/>
              <w:rPr>
                <w:rFonts w:ascii="Arial" w:eastAsiaTheme="majorEastAsia" w:hAnsi="Arial" w:cs="Arial"/>
                <w:b/>
                <w:color w:val="2F5496" w:themeColor="accent1" w:themeShade="BF"/>
                <w:sz w:val="18"/>
                <w:szCs w:val="18"/>
              </w:rPr>
            </w:pPr>
            <w:sdt>
              <w:sdtPr>
                <w:rPr>
                  <w:rFonts w:ascii="Arial" w:eastAsiaTheme="majorEastAsia" w:hAnsi="Arial" w:cs="Arial"/>
                  <w:b/>
                  <w:sz w:val="18"/>
                  <w:szCs w:val="18"/>
                </w:rPr>
                <w:alias w:val="Final Status"/>
                <w:tag w:val="Final Status"/>
                <w:id w:val="1290009091"/>
                <w:placeholder>
                  <w:docPart w:val="2AAC53D260E14073A2030831F0124804"/>
                </w:placeholder>
                <w:dropDownList>
                  <w:listItem w:displayText="Choose a final status" w:value="Choose a final status"/>
                  <w:listItem w:displayText="Delivered" w:value="Delivered"/>
                  <w:listItem w:displayText="Not delivered" w:value="Not delivered"/>
                </w:dropDownList>
              </w:sdtPr>
              <w:sdtEndPr/>
              <w:sdtContent>
                <w:r w:rsidR="006D19EE" w:rsidRPr="0044605A">
                  <w:rPr>
                    <w:rFonts w:ascii="Arial" w:eastAsiaTheme="majorEastAsia" w:hAnsi="Arial" w:cs="Arial"/>
                    <w:b/>
                    <w:sz w:val="18"/>
                    <w:szCs w:val="18"/>
                  </w:rPr>
                  <w:t>Delivered</w:t>
                </w:r>
              </w:sdtContent>
            </w:sdt>
          </w:p>
        </w:tc>
        <w:tc>
          <w:tcPr>
            <w:tcW w:w="3622" w:type="pct"/>
          </w:tcPr>
          <w:p w14:paraId="28C0EE05" w14:textId="77777777" w:rsidR="006D19EE" w:rsidRPr="00497F78" w:rsidRDefault="006D19EE" w:rsidP="00357D10">
            <w:pPr>
              <w:rPr>
                <w:rFonts w:ascii="Arial" w:hAnsi="Arial" w:cs="Arial"/>
                <w:bCs/>
                <w:sz w:val="18"/>
                <w:szCs w:val="18"/>
              </w:rPr>
            </w:pPr>
            <w:r w:rsidRPr="00497F78">
              <w:rPr>
                <w:rFonts w:ascii="Arial" w:hAnsi="Arial" w:cs="Arial"/>
                <w:bCs/>
                <w:sz w:val="18"/>
                <w:szCs w:val="18"/>
              </w:rPr>
              <w:t xml:space="preserve">In June 2024, the </w:t>
            </w:r>
            <w:r w:rsidRPr="00497F78">
              <w:rPr>
                <w:rFonts w:ascii="Arial" w:hAnsi="Arial" w:cs="Arial"/>
                <w:bCs/>
                <w:i/>
                <w:iCs/>
                <w:sz w:val="18"/>
                <w:szCs w:val="18"/>
              </w:rPr>
              <w:t>Corrective Services Act 2006</w:t>
            </w:r>
            <w:r w:rsidRPr="00497F78">
              <w:rPr>
                <w:rFonts w:ascii="Arial" w:hAnsi="Arial" w:cs="Arial"/>
                <w:bCs/>
                <w:sz w:val="18"/>
                <w:szCs w:val="18"/>
              </w:rPr>
              <w:t xml:space="preserve"> was amended to ensure the Victims Register (VR) can be accessed by those who need it most to support their safety and wellbeing by:</w:t>
            </w:r>
          </w:p>
          <w:p w14:paraId="598EDCF8" w14:textId="02FF6A2E" w:rsidR="006D19EE" w:rsidRPr="00497F78" w:rsidRDefault="006D19EE" w:rsidP="00645CA1">
            <w:pPr>
              <w:pStyle w:val="ListParagraph"/>
              <w:numPr>
                <w:ilvl w:val="0"/>
                <w:numId w:val="26"/>
              </w:numPr>
              <w:rPr>
                <w:rFonts w:ascii="Arial" w:hAnsi="Arial" w:cs="Arial"/>
                <w:bCs/>
                <w:sz w:val="18"/>
                <w:szCs w:val="18"/>
              </w:rPr>
            </w:pPr>
            <w:r w:rsidRPr="00497F78">
              <w:rPr>
                <w:rFonts w:ascii="Arial" w:hAnsi="Arial" w:cs="Arial"/>
                <w:bCs/>
                <w:sz w:val="18"/>
                <w:szCs w:val="18"/>
              </w:rPr>
              <w:t xml:space="preserve">expanding the grounds to support eligible persons for homicide offences </w:t>
            </w:r>
          </w:p>
          <w:p w14:paraId="5DFD80E8" w14:textId="1B9921D5" w:rsidR="006D19EE" w:rsidRPr="00497F78" w:rsidRDefault="006D19EE" w:rsidP="00645CA1">
            <w:pPr>
              <w:pStyle w:val="ListParagraph"/>
              <w:numPr>
                <w:ilvl w:val="0"/>
                <w:numId w:val="26"/>
              </w:numPr>
              <w:rPr>
                <w:rFonts w:ascii="Arial" w:hAnsi="Arial" w:cs="Arial"/>
                <w:bCs/>
                <w:sz w:val="18"/>
                <w:szCs w:val="18"/>
              </w:rPr>
            </w:pPr>
            <w:r w:rsidRPr="00497F78">
              <w:rPr>
                <w:rFonts w:ascii="Arial" w:hAnsi="Arial" w:cs="Arial"/>
                <w:bCs/>
                <w:sz w:val="18"/>
                <w:szCs w:val="18"/>
              </w:rPr>
              <w:t>recognising First Nations family and kinship as immediate family members</w:t>
            </w:r>
          </w:p>
          <w:p w14:paraId="2F0DC039" w14:textId="77777777" w:rsidR="006D19EE" w:rsidRPr="00497F78" w:rsidRDefault="006D19EE" w:rsidP="00645CA1">
            <w:pPr>
              <w:pStyle w:val="ListParagraph"/>
              <w:numPr>
                <w:ilvl w:val="0"/>
                <w:numId w:val="26"/>
              </w:numPr>
              <w:rPr>
                <w:rFonts w:ascii="Arial" w:hAnsi="Arial" w:cs="Arial"/>
                <w:bCs/>
                <w:sz w:val="18"/>
                <w:szCs w:val="18"/>
              </w:rPr>
            </w:pPr>
            <w:r w:rsidRPr="00497F78">
              <w:rPr>
                <w:rFonts w:ascii="Arial" w:hAnsi="Arial" w:cs="Arial"/>
                <w:bCs/>
                <w:sz w:val="18"/>
                <w:szCs w:val="18"/>
              </w:rPr>
              <w:t>increasing flexibility and more discretion for the chief executive to register an eligible person.</w:t>
            </w:r>
          </w:p>
          <w:p w14:paraId="6F2D7FCE" w14:textId="77777777" w:rsidR="006D19EE" w:rsidRPr="00497F78" w:rsidRDefault="006D19EE" w:rsidP="00645CA1">
            <w:pPr>
              <w:rPr>
                <w:rFonts w:ascii="Arial" w:hAnsi="Arial" w:cs="Arial"/>
                <w:bCs/>
                <w:sz w:val="18"/>
                <w:szCs w:val="18"/>
              </w:rPr>
            </w:pPr>
          </w:p>
          <w:p w14:paraId="3DF82396" w14:textId="39F86A4C" w:rsidR="006D19EE" w:rsidRPr="000E4A17" w:rsidRDefault="006D19EE" w:rsidP="00645CA1">
            <w:pPr>
              <w:rPr>
                <w:rFonts w:ascii="Arial" w:hAnsi="Arial" w:cs="Arial"/>
                <w:bCs/>
                <w:sz w:val="18"/>
                <w:szCs w:val="18"/>
              </w:rPr>
            </w:pPr>
            <w:r w:rsidRPr="00497F78">
              <w:rPr>
                <w:rFonts w:ascii="Arial" w:hAnsi="Arial" w:cs="Arial"/>
                <w:bCs/>
                <w:sz w:val="18"/>
                <w:szCs w:val="18"/>
              </w:rPr>
              <w:t>The VR continues to be adaptable to the communication needs of eligible persons. For eligible persons requiring interpreter services, the VR utilises approved translating and interpreting services available to Queensland Corrective Services as required, as well as support persons and support agencies nominated by eligible persons.</w:t>
            </w:r>
          </w:p>
        </w:tc>
      </w:tr>
    </w:tbl>
    <w:p w14:paraId="288DD608" w14:textId="77777777" w:rsidR="004217EC" w:rsidRDefault="004217EC" w:rsidP="004217EC">
      <w:pPr>
        <w:spacing w:after="0"/>
        <w:rPr>
          <w:rFonts w:cstheme="minorHAnsi"/>
          <w:bCs/>
          <w:i/>
          <w:iCs/>
          <w:color w:val="2F5496" w:themeColor="accent1" w:themeShade="BF"/>
          <w:sz w:val="24"/>
          <w:szCs w:val="24"/>
        </w:rPr>
      </w:pPr>
    </w:p>
    <w:p w14:paraId="500FA605" w14:textId="53F0B55C" w:rsidR="006D19EE" w:rsidRDefault="006D19EE">
      <w:pPr>
        <w:rPr>
          <w:rFonts w:cstheme="minorHAnsi"/>
          <w:bCs/>
          <w:i/>
          <w:iCs/>
          <w:color w:val="2F5496" w:themeColor="accent1" w:themeShade="BF"/>
          <w:sz w:val="24"/>
          <w:szCs w:val="24"/>
        </w:rPr>
      </w:pPr>
      <w:r>
        <w:rPr>
          <w:rFonts w:cstheme="minorHAnsi"/>
          <w:bCs/>
          <w:i/>
          <w:iCs/>
          <w:color w:val="2F5496" w:themeColor="accent1" w:themeShade="BF"/>
          <w:sz w:val="24"/>
          <w:szCs w:val="24"/>
        </w:rPr>
        <w:br w:type="page"/>
      </w:r>
    </w:p>
    <w:p w14:paraId="0E111371" w14:textId="36CA7BDC" w:rsidR="0027012C" w:rsidRPr="004217EC" w:rsidRDefault="0027012C" w:rsidP="004217EC">
      <w:pPr>
        <w:rPr>
          <w:rFonts w:ascii="Wingdings" w:eastAsiaTheme="majorEastAsia" w:hAnsi="Wingdings" w:cs="Arial"/>
          <w:b/>
          <w:bCs/>
          <w:color w:val="00B0F0"/>
          <w:sz w:val="32"/>
          <w:szCs w:val="32"/>
        </w:rPr>
      </w:pPr>
      <w:r w:rsidRPr="00495473">
        <w:rPr>
          <w:rFonts w:ascii="Wingdings" w:hAnsi="Wingdings" w:cs="Arial"/>
          <w:b/>
          <w:bCs/>
          <w:color w:val="00B0F0"/>
        </w:rPr>
        <w:lastRenderedPageBreak/>
        <w:sym w:font="Wingdings" w:char="F06C"/>
      </w:r>
      <w:r>
        <w:rPr>
          <w:rFonts w:ascii="Wingdings" w:hAnsi="Wingdings" w:cs="Arial"/>
          <w:b/>
          <w:bCs/>
          <w:color w:val="00B0F0"/>
        </w:rPr>
        <w:t xml:space="preserve"> </w:t>
      </w:r>
      <w:bookmarkStart w:id="3" w:name="_Hlk142394085"/>
      <w:r w:rsidRPr="00F57859">
        <w:rPr>
          <w:rFonts w:ascii="Arial" w:hAnsi="Arial" w:cs="Arial"/>
          <w:b/>
          <w:color w:val="00B0F0"/>
          <w:sz w:val="28"/>
          <w:szCs w:val="28"/>
          <w:u w:val="single"/>
        </w:rPr>
        <w:t>KEY ACTION 4</w:t>
      </w:r>
      <w:r w:rsidRPr="00182982">
        <w:rPr>
          <w:rFonts w:ascii="Arial" w:hAnsi="Arial" w:cs="Arial"/>
          <w:b/>
          <w:color w:val="00B0F0"/>
          <w:sz w:val="28"/>
          <w:szCs w:val="28"/>
        </w:rPr>
        <w:t xml:space="preserve">: </w:t>
      </w:r>
      <w:r w:rsidRPr="00182982">
        <w:rPr>
          <w:rFonts w:ascii="Arial" w:hAnsi="Arial" w:cs="Arial"/>
          <w:b/>
          <w:sz w:val="28"/>
          <w:szCs w:val="28"/>
        </w:rPr>
        <w:t>Cultural diversity data</w:t>
      </w:r>
    </w:p>
    <w:p w14:paraId="2EA4CE9D" w14:textId="77777777" w:rsidR="0027012C" w:rsidRPr="00182982" w:rsidRDefault="0027012C" w:rsidP="0027012C">
      <w:pPr>
        <w:rPr>
          <w:rFonts w:cstheme="minorHAnsi"/>
          <w:bCs/>
          <w:sz w:val="24"/>
          <w:szCs w:val="24"/>
        </w:rPr>
      </w:pPr>
      <w:r w:rsidRPr="00182982">
        <w:rPr>
          <w:rFonts w:cstheme="minorHAnsi"/>
          <w:bCs/>
          <w:sz w:val="24"/>
          <w:szCs w:val="24"/>
        </w:rPr>
        <w:t xml:space="preserve">The Queensland Government will collect, analyse, and use </w:t>
      </w:r>
      <w:r w:rsidRPr="00182982">
        <w:rPr>
          <w:rFonts w:cstheme="minorHAnsi"/>
          <w:b/>
          <w:sz w:val="24"/>
          <w:szCs w:val="24"/>
        </w:rPr>
        <w:t>cultural diversity data</w:t>
      </w:r>
      <w:r w:rsidRPr="00182982">
        <w:rPr>
          <w:rFonts w:cstheme="minorHAnsi"/>
          <w:bCs/>
          <w:sz w:val="24"/>
          <w:szCs w:val="24"/>
        </w:rPr>
        <w:t xml:space="preserve"> to improve service delivery and better meet customer needs.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03972040" w14:textId="77777777" w:rsidR="0027012C" w:rsidRPr="00182982" w:rsidRDefault="0027012C" w:rsidP="0027012C">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57BCE81A" w14:textId="77777777" w:rsidR="0027012C" w:rsidRPr="00182982" w:rsidRDefault="0027012C" w:rsidP="0027012C">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052117C6" w14:textId="77777777" w:rsidR="0027012C" w:rsidRPr="00182982" w:rsidRDefault="0027012C" w:rsidP="0027012C">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6199B0BD" w14:textId="77777777" w:rsidR="0027012C" w:rsidRPr="003A34FE" w:rsidRDefault="0027012C" w:rsidP="0027012C">
      <w:pPr>
        <w:pStyle w:val="ListParagraph"/>
        <w:spacing w:after="0"/>
        <w:rPr>
          <w:rFonts w:cstheme="minorHAnsi"/>
          <w:bCs/>
          <w:i/>
          <w:iCs/>
          <w:color w:val="2F5496" w:themeColor="accent1" w:themeShade="BF"/>
          <w:sz w:val="24"/>
          <w:szCs w:val="24"/>
        </w:rPr>
      </w:pPr>
    </w:p>
    <w:tbl>
      <w:tblPr>
        <w:tblStyle w:val="TableGrid"/>
        <w:tblW w:w="4929"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409"/>
        <w:gridCol w:w="1562"/>
        <w:gridCol w:w="9779"/>
      </w:tblGrid>
      <w:tr w:rsidR="00AA6C62" w:rsidRPr="0054491B" w14:paraId="09FBD7DE" w14:textId="77777777" w:rsidTr="00306116">
        <w:trPr>
          <w:trHeight w:val="1054"/>
          <w:tblHeader/>
        </w:trPr>
        <w:tc>
          <w:tcPr>
            <w:tcW w:w="876" w:type="pct"/>
            <w:shd w:val="clear" w:color="auto" w:fill="D9D9D9" w:themeFill="background1" w:themeFillShade="D9"/>
          </w:tcPr>
          <w:p w14:paraId="734CB7B7" w14:textId="1C57D268" w:rsidR="006D19EE" w:rsidRDefault="006D19EE" w:rsidP="00306116">
            <w:pPr>
              <w:autoSpaceDE w:val="0"/>
              <w:autoSpaceDN w:val="0"/>
              <w:adjustRightInd w:val="0"/>
              <w:rPr>
                <w:rFonts w:ascii="Arial" w:hAnsi="Arial" w:cs="Arial"/>
                <w:b/>
                <w:sz w:val="20"/>
                <w:szCs w:val="20"/>
              </w:rPr>
            </w:pPr>
            <w:bookmarkStart w:id="4" w:name="_Hlk141436626"/>
            <w:bookmarkStart w:id="5" w:name="_Hlk141368226"/>
            <w:bookmarkStart w:id="6" w:name="_Hlk142551964"/>
            <w:r w:rsidRPr="007214E3">
              <w:rPr>
                <w:rFonts w:ascii="Arial" w:hAnsi="Arial" w:cs="Arial"/>
                <w:b/>
                <w:sz w:val="20"/>
                <w:szCs w:val="20"/>
              </w:rPr>
              <w:t xml:space="preserve">Agency activities supporting </w:t>
            </w:r>
            <w:bookmarkEnd w:id="4"/>
          </w:p>
          <w:p w14:paraId="3B20F7AE" w14:textId="77777777" w:rsidR="00306116" w:rsidRPr="00306116" w:rsidRDefault="00306116" w:rsidP="00306116">
            <w:pPr>
              <w:autoSpaceDE w:val="0"/>
              <w:autoSpaceDN w:val="0"/>
              <w:adjustRightInd w:val="0"/>
              <w:rPr>
                <w:rFonts w:ascii="Arial" w:hAnsi="Arial" w:cs="Arial"/>
                <w:b/>
                <w:sz w:val="20"/>
                <w:szCs w:val="20"/>
              </w:rPr>
            </w:pPr>
          </w:p>
          <w:p w14:paraId="601E2A22" w14:textId="4CF87927" w:rsidR="006D19EE" w:rsidRPr="007214E3" w:rsidRDefault="006D19EE" w:rsidP="00306116">
            <w:pPr>
              <w:autoSpaceDE w:val="0"/>
              <w:autoSpaceDN w:val="0"/>
              <w:adjustRightInd w:val="0"/>
              <w:rPr>
                <w:rFonts w:ascii="Arial" w:hAnsi="Arial" w:cs="Arial"/>
                <w:b/>
                <w:sz w:val="20"/>
                <w:szCs w:val="20"/>
              </w:rPr>
            </w:pPr>
            <w:r w:rsidRPr="007214E3">
              <w:rPr>
                <w:rFonts w:ascii="Arial" w:hAnsi="Arial" w:cs="Arial"/>
                <w:b/>
                <w:color w:val="00B0F0"/>
                <w:sz w:val="20"/>
                <w:szCs w:val="20"/>
              </w:rPr>
              <w:t>Key Action 4</w:t>
            </w:r>
          </w:p>
        </w:tc>
        <w:tc>
          <w:tcPr>
            <w:tcW w:w="568" w:type="pct"/>
            <w:tcBorders>
              <w:bottom w:val="single" w:sz="4" w:space="0" w:color="C0504D"/>
            </w:tcBorders>
            <w:shd w:val="clear" w:color="auto" w:fill="D9D9D9" w:themeFill="background1" w:themeFillShade="D9"/>
          </w:tcPr>
          <w:p w14:paraId="004354A4" w14:textId="77777777" w:rsidR="006D19EE" w:rsidRPr="007214E3" w:rsidRDefault="006D19EE" w:rsidP="00FF3B88">
            <w:pPr>
              <w:autoSpaceDE w:val="0"/>
              <w:autoSpaceDN w:val="0"/>
              <w:adjustRightInd w:val="0"/>
              <w:spacing w:after="120"/>
              <w:rPr>
                <w:rFonts w:ascii="Arial" w:hAnsi="Arial" w:cs="Arial"/>
                <w:b/>
                <w:sz w:val="20"/>
                <w:szCs w:val="20"/>
              </w:rPr>
            </w:pPr>
            <w:r w:rsidRPr="007214E3">
              <w:rPr>
                <w:rFonts w:ascii="Arial" w:hAnsi="Arial" w:cs="Arial"/>
                <w:b/>
                <w:sz w:val="20"/>
                <w:szCs w:val="20"/>
              </w:rPr>
              <w:t>Progress status for 202</w:t>
            </w:r>
            <w:r>
              <w:rPr>
                <w:rFonts w:ascii="Arial" w:hAnsi="Arial" w:cs="Arial"/>
                <w:b/>
                <w:sz w:val="20"/>
                <w:szCs w:val="20"/>
              </w:rPr>
              <w:t>3</w:t>
            </w:r>
            <w:r w:rsidRPr="007214E3">
              <w:rPr>
                <w:rFonts w:ascii="Arial" w:hAnsi="Arial" w:cs="Arial"/>
                <w:b/>
                <w:sz w:val="20"/>
                <w:szCs w:val="20"/>
              </w:rPr>
              <w:t>-2</w:t>
            </w:r>
            <w:r>
              <w:rPr>
                <w:rFonts w:ascii="Arial" w:hAnsi="Arial" w:cs="Arial"/>
                <w:b/>
                <w:sz w:val="20"/>
                <w:szCs w:val="20"/>
              </w:rPr>
              <w:t>4</w:t>
            </w:r>
          </w:p>
        </w:tc>
        <w:tc>
          <w:tcPr>
            <w:tcW w:w="3556" w:type="pct"/>
            <w:tcBorders>
              <w:bottom w:val="single" w:sz="4" w:space="0" w:color="C0504D"/>
            </w:tcBorders>
            <w:shd w:val="clear" w:color="auto" w:fill="D9D9D9" w:themeFill="background1" w:themeFillShade="D9"/>
          </w:tcPr>
          <w:p w14:paraId="3CBA3EBE" w14:textId="77777777" w:rsidR="006D19EE" w:rsidRDefault="006D19EE" w:rsidP="00FF3B88">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5005CFA5" w14:textId="7FF625AF" w:rsidR="006D19EE" w:rsidRPr="007214E3" w:rsidRDefault="006D19EE" w:rsidP="00FF3B88">
            <w:pPr>
              <w:autoSpaceDE w:val="0"/>
              <w:autoSpaceDN w:val="0"/>
              <w:adjustRightInd w:val="0"/>
              <w:spacing w:after="120"/>
              <w:rPr>
                <w:rFonts w:ascii="Arial" w:hAnsi="Arial" w:cs="Arial"/>
                <w:b/>
                <w:sz w:val="20"/>
                <w:szCs w:val="20"/>
              </w:rPr>
            </w:pPr>
          </w:p>
        </w:tc>
      </w:tr>
      <w:tr w:rsidR="00AA6C62" w:rsidRPr="00FD4ED2" w14:paraId="607172D4" w14:textId="77777777" w:rsidTr="006D19EE">
        <w:trPr>
          <w:trHeight w:val="680"/>
        </w:trPr>
        <w:tc>
          <w:tcPr>
            <w:tcW w:w="876" w:type="pct"/>
            <w:shd w:val="clear" w:color="auto" w:fill="auto"/>
          </w:tcPr>
          <w:p w14:paraId="1D951AD8" w14:textId="227C687B" w:rsidR="006D19EE" w:rsidRPr="002E5AB7" w:rsidRDefault="006D19EE" w:rsidP="00FF3B88">
            <w:pPr>
              <w:autoSpaceDE w:val="0"/>
              <w:autoSpaceDN w:val="0"/>
              <w:adjustRightInd w:val="0"/>
              <w:spacing w:before="120"/>
              <w:rPr>
                <w:rFonts w:ascii="Arial" w:hAnsi="Arial" w:cs="Arial"/>
                <w:sz w:val="18"/>
                <w:szCs w:val="18"/>
              </w:rPr>
            </w:pPr>
            <w:bookmarkStart w:id="7" w:name="_Hlk175235357"/>
            <w:bookmarkStart w:id="8" w:name="_Hlk176445067"/>
            <w:r w:rsidRPr="004217EC">
              <w:rPr>
                <w:rFonts w:ascii="Arial" w:hAnsi="Arial" w:cs="Arial"/>
                <w:sz w:val="18"/>
                <w:szCs w:val="18"/>
              </w:rPr>
              <w:t>Queensland Corrective Services will identify opportunities to enhance collection of diversity data to better inform service delivery and workforce practices and processes.</w:t>
            </w:r>
            <w:bookmarkEnd w:id="7"/>
          </w:p>
        </w:tc>
        <w:tc>
          <w:tcPr>
            <w:tcW w:w="568" w:type="pct"/>
            <w:shd w:val="clear" w:color="auto" w:fill="auto"/>
          </w:tcPr>
          <w:p w14:paraId="7C3396F9" w14:textId="733DD469" w:rsidR="006D19EE" w:rsidRPr="007214E3" w:rsidRDefault="00306116" w:rsidP="00FF3B88">
            <w:pPr>
              <w:autoSpaceDE w:val="0"/>
              <w:autoSpaceDN w:val="0"/>
              <w:adjustRightInd w:val="0"/>
              <w:rPr>
                <w:rFonts w:ascii="Arial" w:hAnsi="Arial" w:cs="Arial"/>
                <w:b/>
                <w:sz w:val="18"/>
                <w:szCs w:val="18"/>
              </w:rPr>
            </w:pPr>
            <w:sdt>
              <w:sdtPr>
                <w:rPr>
                  <w:rFonts w:ascii="Arial" w:eastAsiaTheme="majorEastAsia" w:hAnsi="Arial" w:cs="Arial"/>
                  <w:b/>
                  <w:sz w:val="18"/>
                  <w:szCs w:val="18"/>
                </w:rPr>
                <w:alias w:val="Final Status"/>
                <w:tag w:val="Final Status"/>
                <w:id w:val="1119036018"/>
                <w:placeholder>
                  <w:docPart w:val="A1D6E926C22D425F913B9AECD4488496"/>
                </w:placeholder>
                <w:dropDownList>
                  <w:listItem w:displayText="Choose a final status" w:value="Choose a final status"/>
                  <w:listItem w:displayText="Delivered" w:value="Delivered"/>
                  <w:listItem w:displayText="Not delivered" w:value="Not delivered"/>
                </w:dropDownList>
              </w:sdtPr>
              <w:sdtEndPr/>
              <w:sdtContent>
                <w:r w:rsidR="0044605A" w:rsidRPr="0044605A">
                  <w:rPr>
                    <w:rFonts w:ascii="Arial" w:eastAsiaTheme="majorEastAsia" w:hAnsi="Arial" w:cs="Arial"/>
                    <w:b/>
                    <w:sz w:val="18"/>
                    <w:szCs w:val="18"/>
                  </w:rPr>
                  <w:t>Delivered</w:t>
                </w:r>
              </w:sdtContent>
            </w:sdt>
          </w:p>
        </w:tc>
        <w:tc>
          <w:tcPr>
            <w:tcW w:w="3556" w:type="pct"/>
          </w:tcPr>
          <w:p w14:paraId="70F066CF" w14:textId="77777777" w:rsidR="006D19EE" w:rsidRPr="00497F78" w:rsidRDefault="006D19EE" w:rsidP="0097236B">
            <w:pPr>
              <w:autoSpaceDE w:val="0"/>
              <w:autoSpaceDN w:val="0"/>
              <w:adjustRightInd w:val="0"/>
              <w:rPr>
                <w:rFonts w:ascii="Arial" w:hAnsi="Arial" w:cs="Arial"/>
                <w:bCs/>
                <w:sz w:val="18"/>
                <w:szCs w:val="18"/>
              </w:rPr>
            </w:pPr>
            <w:r w:rsidRPr="00497F78">
              <w:rPr>
                <w:rFonts w:ascii="Arial" w:hAnsi="Arial" w:cs="Arial"/>
                <w:bCs/>
                <w:sz w:val="18"/>
                <w:szCs w:val="18"/>
              </w:rPr>
              <w:t xml:space="preserve">Queensland Corrective Services (QCS) completed an Equity and Diversity Audit in April 2024 and submitted this to the Office of the Special Commissioner, Equity and Diversity. </w:t>
            </w:r>
          </w:p>
          <w:p w14:paraId="42C96FE1" w14:textId="77777777" w:rsidR="006D19EE" w:rsidRPr="00497F78" w:rsidRDefault="006D19EE" w:rsidP="00FF3B88">
            <w:pPr>
              <w:autoSpaceDE w:val="0"/>
              <w:autoSpaceDN w:val="0"/>
              <w:adjustRightInd w:val="0"/>
              <w:rPr>
                <w:rFonts w:ascii="Arial" w:hAnsi="Arial" w:cs="Arial"/>
                <w:bCs/>
                <w:sz w:val="18"/>
                <w:szCs w:val="18"/>
              </w:rPr>
            </w:pPr>
          </w:p>
          <w:p w14:paraId="23333CB6" w14:textId="67F0E67D" w:rsidR="006D19EE" w:rsidRPr="00497F78" w:rsidRDefault="006D19EE" w:rsidP="00FF3B88">
            <w:pPr>
              <w:autoSpaceDE w:val="0"/>
              <w:autoSpaceDN w:val="0"/>
              <w:adjustRightInd w:val="0"/>
              <w:rPr>
                <w:rFonts w:ascii="Arial" w:hAnsi="Arial" w:cs="Arial"/>
                <w:bCs/>
                <w:sz w:val="18"/>
                <w:szCs w:val="18"/>
              </w:rPr>
            </w:pPr>
            <w:r w:rsidRPr="00497F78">
              <w:rPr>
                <w:rFonts w:ascii="Arial" w:hAnsi="Arial" w:cs="Arial"/>
                <w:bCs/>
                <w:sz w:val="18"/>
                <w:szCs w:val="18"/>
              </w:rPr>
              <w:t xml:space="preserve">The QCS Equity and Diversity Action Plan 2023-2026 reinforces inclusive attitudes and behaviours consistent with QCS’ values and addresses the workforce diversity gaps to meet QCS’ Workforce Strategy objectives and </w:t>
            </w:r>
            <w:r w:rsidRPr="00497F78">
              <w:rPr>
                <w:rFonts w:ascii="Arial" w:hAnsi="Arial" w:cs="Arial"/>
                <w:bCs/>
                <w:i/>
                <w:iCs/>
                <w:sz w:val="18"/>
                <w:szCs w:val="18"/>
              </w:rPr>
              <w:t>Corrections 2030</w:t>
            </w:r>
            <w:r w:rsidRPr="00497F78">
              <w:rPr>
                <w:rFonts w:ascii="Arial" w:hAnsi="Arial" w:cs="Arial"/>
                <w:bCs/>
                <w:sz w:val="18"/>
                <w:szCs w:val="18"/>
              </w:rPr>
              <w:t xml:space="preserve"> vision. The focus areas of the Equity and Diversity Plan are revised each year in accordance with the audit findings. The 2026 workforce diversity targets for QCS are:</w:t>
            </w:r>
          </w:p>
          <w:p w14:paraId="4107FAC2" w14:textId="77777777" w:rsidR="006D19EE" w:rsidRPr="00497F78" w:rsidRDefault="006D19EE" w:rsidP="004C6B50">
            <w:pPr>
              <w:pStyle w:val="ListParagraph"/>
              <w:numPr>
                <w:ilvl w:val="0"/>
                <w:numId w:val="28"/>
              </w:numPr>
              <w:autoSpaceDE w:val="0"/>
              <w:autoSpaceDN w:val="0"/>
              <w:adjustRightInd w:val="0"/>
              <w:rPr>
                <w:rFonts w:ascii="Arial" w:hAnsi="Arial" w:cs="Arial"/>
                <w:bCs/>
                <w:sz w:val="18"/>
                <w:szCs w:val="18"/>
              </w:rPr>
            </w:pPr>
            <w:r w:rsidRPr="00497F78">
              <w:rPr>
                <w:rFonts w:ascii="Arial" w:hAnsi="Arial" w:cs="Arial"/>
                <w:bCs/>
                <w:sz w:val="18"/>
                <w:szCs w:val="18"/>
              </w:rPr>
              <w:t>4% First Nations officers</w:t>
            </w:r>
          </w:p>
          <w:p w14:paraId="42A09E50" w14:textId="77777777" w:rsidR="006D19EE" w:rsidRPr="00497F78" w:rsidRDefault="006D19EE" w:rsidP="004C6B50">
            <w:pPr>
              <w:pStyle w:val="ListParagraph"/>
              <w:numPr>
                <w:ilvl w:val="0"/>
                <w:numId w:val="28"/>
              </w:numPr>
              <w:autoSpaceDE w:val="0"/>
              <w:autoSpaceDN w:val="0"/>
              <w:adjustRightInd w:val="0"/>
              <w:rPr>
                <w:rFonts w:ascii="Arial" w:hAnsi="Arial" w:cs="Arial"/>
                <w:bCs/>
                <w:sz w:val="18"/>
                <w:szCs w:val="18"/>
              </w:rPr>
            </w:pPr>
            <w:r w:rsidRPr="00497F78">
              <w:rPr>
                <w:rFonts w:ascii="Arial" w:hAnsi="Arial" w:cs="Arial"/>
                <w:bCs/>
                <w:sz w:val="18"/>
                <w:szCs w:val="18"/>
              </w:rPr>
              <w:t xml:space="preserve">12% Officers with diversity </w:t>
            </w:r>
          </w:p>
          <w:p w14:paraId="1AEF0B26" w14:textId="77777777" w:rsidR="006D19EE" w:rsidRPr="00497F78" w:rsidRDefault="006D19EE" w:rsidP="004C6B50">
            <w:pPr>
              <w:pStyle w:val="ListParagraph"/>
              <w:numPr>
                <w:ilvl w:val="0"/>
                <w:numId w:val="28"/>
              </w:numPr>
              <w:autoSpaceDE w:val="0"/>
              <w:autoSpaceDN w:val="0"/>
              <w:adjustRightInd w:val="0"/>
              <w:rPr>
                <w:rFonts w:ascii="Arial" w:hAnsi="Arial" w:cs="Arial"/>
                <w:bCs/>
                <w:sz w:val="18"/>
                <w:szCs w:val="18"/>
              </w:rPr>
            </w:pPr>
            <w:r w:rsidRPr="00497F78">
              <w:rPr>
                <w:rFonts w:ascii="Arial" w:hAnsi="Arial" w:cs="Arial"/>
                <w:bCs/>
                <w:sz w:val="18"/>
                <w:szCs w:val="18"/>
              </w:rPr>
              <w:t>12% Culturally and linguistically diverse officers</w:t>
            </w:r>
          </w:p>
          <w:p w14:paraId="781BE01B" w14:textId="736E5E3E" w:rsidR="006D19EE" w:rsidRPr="000E4A17" w:rsidRDefault="006D19EE" w:rsidP="000E4A17">
            <w:pPr>
              <w:pStyle w:val="ListParagraph"/>
              <w:numPr>
                <w:ilvl w:val="0"/>
                <w:numId w:val="28"/>
              </w:numPr>
              <w:autoSpaceDE w:val="0"/>
              <w:autoSpaceDN w:val="0"/>
              <w:adjustRightInd w:val="0"/>
              <w:rPr>
                <w:rFonts w:ascii="Arial" w:hAnsi="Arial" w:cs="Arial"/>
                <w:bCs/>
                <w:sz w:val="18"/>
                <w:szCs w:val="18"/>
              </w:rPr>
            </w:pPr>
            <w:r w:rsidRPr="00497F78">
              <w:rPr>
                <w:rFonts w:ascii="Arial" w:hAnsi="Arial" w:cs="Arial"/>
                <w:bCs/>
                <w:sz w:val="18"/>
                <w:szCs w:val="18"/>
              </w:rPr>
              <w:t>50% Women in leadership.</w:t>
            </w:r>
          </w:p>
        </w:tc>
      </w:tr>
      <w:bookmarkEnd w:id="3"/>
      <w:bookmarkEnd w:id="5"/>
      <w:bookmarkEnd w:id="6"/>
      <w:bookmarkEnd w:id="8"/>
    </w:tbl>
    <w:p w14:paraId="78FB75AF" w14:textId="22765859" w:rsidR="006D19EE" w:rsidRDefault="006D19EE" w:rsidP="0027012C">
      <w:pPr>
        <w:spacing w:after="0"/>
        <w:rPr>
          <w:rFonts w:cstheme="minorHAnsi"/>
          <w:bCs/>
          <w:i/>
          <w:iCs/>
          <w:color w:val="2F5496" w:themeColor="accent1" w:themeShade="BF"/>
          <w:sz w:val="24"/>
          <w:szCs w:val="24"/>
        </w:rPr>
      </w:pPr>
    </w:p>
    <w:p w14:paraId="31280D93" w14:textId="77777777" w:rsidR="006D19EE" w:rsidRDefault="006D19EE">
      <w:pPr>
        <w:rPr>
          <w:rFonts w:cstheme="minorHAnsi"/>
          <w:bCs/>
          <w:i/>
          <w:iCs/>
          <w:color w:val="2F5496" w:themeColor="accent1" w:themeShade="BF"/>
          <w:sz w:val="24"/>
          <w:szCs w:val="24"/>
        </w:rPr>
      </w:pPr>
      <w:r>
        <w:rPr>
          <w:rFonts w:cstheme="minorHAnsi"/>
          <w:bCs/>
          <w:i/>
          <w:iCs/>
          <w:color w:val="2F5496" w:themeColor="accent1" w:themeShade="BF"/>
          <w:sz w:val="24"/>
          <w:szCs w:val="24"/>
        </w:rPr>
        <w:br w:type="page"/>
      </w:r>
    </w:p>
    <w:p w14:paraId="78581EB9" w14:textId="77777777" w:rsidR="00E7125F" w:rsidRDefault="00E7125F" w:rsidP="00E7125F">
      <w:pPr>
        <w:pStyle w:val="Heading1"/>
        <w:rPr>
          <w:rFonts w:ascii="Arial" w:hAnsi="Arial" w:cs="Arial"/>
          <w:b/>
          <w:color w:val="auto"/>
          <w:sz w:val="28"/>
          <w:szCs w:val="28"/>
        </w:rPr>
      </w:pPr>
      <w:r w:rsidRPr="00495473">
        <w:rPr>
          <w:rFonts w:ascii="Wingdings" w:hAnsi="Wingdings" w:cs="Arial"/>
          <w:b/>
          <w:bCs/>
          <w:color w:val="7030A0"/>
        </w:rPr>
        <w:lastRenderedPageBreak/>
        <w:sym w:font="Wingdings" w:char="F06C"/>
      </w:r>
      <w:r>
        <w:rPr>
          <w:rFonts w:ascii="Wingdings" w:hAnsi="Wingdings" w:cs="Arial"/>
          <w:b/>
          <w:bCs/>
          <w:color w:val="7030A0"/>
        </w:rPr>
        <w:t xml:space="preserve"> </w:t>
      </w:r>
      <w:r w:rsidRPr="00F57859">
        <w:rPr>
          <w:rFonts w:ascii="Arial" w:hAnsi="Arial" w:cs="Arial"/>
          <w:b/>
          <w:color w:val="7030A0"/>
          <w:sz w:val="28"/>
          <w:szCs w:val="28"/>
          <w:u w:val="single"/>
        </w:rPr>
        <w:t>KEY ACTION 5</w:t>
      </w:r>
      <w:r w:rsidRPr="00182982">
        <w:rPr>
          <w:rFonts w:ascii="Arial" w:hAnsi="Arial" w:cs="Arial"/>
          <w:b/>
          <w:color w:val="7030A0"/>
          <w:sz w:val="28"/>
          <w:szCs w:val="28"/>
        </w:rPr>
        <w:t xml:space="preserve">: </w:t>
      </w:r>
      <w:r w:rsidRPr="00182982">
        <w:rPr>
          <w:rFonts w:ascii="Arial" w:hAnsi="Arial" w:cs="Arial"/>
          <w:b/>
          <w:color w:val="auto"/>
          <w:sz w:val="28"/>
          <w:szCs w:val="28"/>
        </w:rPr>
        <w:t>Interpreters and communication</w:t>
      </w:r>
      <w:r>
        <w:rPr>
          <w:rFonts w:ascii="Arial" w:hAnsi="Arial" w:cs="Arial"/>
          <w:b/>
          <w:color w:val="auto"/>
          <w:sz w:val="28"/>
          <w:szCs w:val="28"/>
        </w:rPr>
        <w:t xml:space="preserve"> strategies</w:t>
      </w:r>
      <w:r w:rsidRPr="00182982">
        <w:rPr>
          <w:rFonts w:ascii="Arial" w:hAnsi="Arial" w:cs="Arial"/>
          <w:b/>
          <w:color w:val="auto"/>
          <w:sz w:val="28"/>
          <w:szCs w:val="28"/>
        </w:rPr>
        <w:t xml:space="preserve"> </w:t>
      </w:r>
    </w:p>
    <w:p w14:paraId="679F893A" w14:textId="77777777" w:rsidR="00E7125F" w:rsidRPr="00182982" w:rsidRDefault="00E7125F" w:rsidP="00E7125F">
      <w:pPr>
        <w:spacing w:after="0"/>
        <w:rPr>
          <w:rFonts w:cstheme="minorHAnsi"/>
          <w:bCs/>
          <w:sz w:val="24"/>
          <w:szCs w:val="24"/>
        </w:rPr>
      </w:pPr>
    </w:p>
    <w:p w14:paraId="6E60772B" w14:textId="77777777" w:rsidR="00E7125F" w:rsidRPr="00182982" w:rsidRDefault="00E7125F" w:rsidP="00E7125F">
      <w:pPr>
        <w:rPr>
          <w:rFonts w:cstheme="minorHAnsi"/>
          <w:bCs/>
          <w:sz w:val="24"/>
          <w:szCs w:val="24"/>
        </w:rPr>
      </w:pPr>
      <w:r w:rsidRPr="00182982">
        <w:rPr>
          <w:rFonts w:cstheme="minorHAnsi"/>
          <w:bCs/>
          <w:sz w:val="24"/>
          <w:szCs w:val="24"/>
        </w:rPr>
        <w:t xml:space="preserve">Queensland Government agencies will ensure people who have difficulty communicating in English can access information and services at the right time and in the right manner, through </w:t>
      </w:r>
      <w:r w:rsidRPr="00182982">
        <w:rPr>
          <w:rFonts w:cstheme="minorHAnsi"/>
          <w:b/>
          <w:sz w:val="24"/>
          <w:szCs w:val="24"/>
        </w:rPr>
        <w:t>improved access to interpreters and implementing multilingual and multi-modal communication strategies</w:t>
      </w:r>
      <w:r w:rsidRPr="00182982">
        <w:rPr>
          <w:rFonts w:cstheme="minorHAnsi"/>
          <w:bCs/>
          <w:sz w:val="24"/>
          <w:szCs w:val="24"/>
        </w:rPr>
        <w:t xml:space="preserve">.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05C8AB8E" w14:textId="77777777" w:rsidR="00E7125F" w:rsidRPr="00182982" w:rsidRDefault="00E7125F" w:rsidP="00E7125F">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7E6A0EAB" w14:textId="77777777" w:rsidR="00E7125F" w:rsidRPr="00182982" w:rsidRDefault="00E7125F" w:rsidP="00E7125F">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45C1BD24" w14:textId="77777777" w:rsidR="00E7125F" w:rsidRPr="00182982" w:rsidRDefault="00E7125F" w:rsidP="00E7125F">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3481F435" w14:textId="77777777" w:rsidR="00E7125F" w:rsidRPr="00182982" w:rsidRDefault="00E7125F" w:rsidP="00E7125F">
      <w:pPr>
        <w:pStyle w:val="ListParagraph"/>
        <w:numPr>
          <w:ilvl w:val="0"/>
          <w:numId w:val="14"/>
        </w:numPr>
        <w:spacing w:after="0"/>
        <w:rPr>
          <w:rFonts w:cstheme="minorHAnsi"/>
          <w:bCs/>
          <w:i/>
          <w:iCs/>
          <w:sz w:val="24"/>
          <w:szCs w:val="24"/>
        </w:rPr>
      </w:pPr>
      <w:r w:rsidRPr="00182982">
        <w:rPr>
          <w:rFonts w:cstheme="minorHAnsi"/>
          <w:bCs/>
          <w:i/>
          <w:iCs/>
          <w:sz w:val="24"/>
          <w:szCs w:val="24"/>
        </w:rPr>
        <w:t>Queensland gets the most benefit from our diversity and global connections.</w:t>
      </w:r>
    </w:p>
    <w:p w14:paraId="78825ED5" w14:textId="77777777" w:rsidR="00E7125F" w:rsidRPr="00182982" w:rsidRDefault="00E7125F" w:rsidP="00E7125F">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3C7CF974" w14:textId="77777777" w:rsidR="00E7125F" w:rsidRPr="00F80023" w:rsidRDefault="00E7125F" w:rsidP="00E7125F">
      <w:pPr>
        <w:pStyle w:val="ListParagraph"/>
        <w:spacing w:after="0"/>
        <w:rPr>
          <w:rFonts w:cstheme="minorHAnsi"/>
          <w:bCs/>
          <w:i/>
          <w:iCs/>
          <w:color w:val="2F5496" w:themeColor="accent1" w:themeShade="BF"/>
          <w:sz w:val="24"/>
          <w:szCs w:val="24"/>
        </w:rPr>
      </w:pPr>
    </w:p>
    <w:tbl>
      <w:tblPr>
        <w:tblStyle w:val="TableGrid"/>
        <w:tblW w:w="4929"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409"/>
        <w:gridCol w:w="1559"/>
        <w:gridCol w:w="9782"/>
      </w:tblGrid>
      <w:tr w:rsidR="00AA6C62" w:rsidRPr="0054491B" w14:paraId="13127296" w14:textId="77777777" w:rsidTr="006D19EE">
        <w:trPr>
          <w:trHeight w:val="1086"/>
          <w:tblHeader/>
        </w:trPr>
        <w:tc>
          <w:tcPr>
            <w:tcW w:w="876" w:type="pct"/>
            <w:shd w:val="clear" w:color="auto" w:fill="D9D9D9" w:themeFill="background1" w:themeFillShade="D9"/>
          </w:tcPr>
          <w:p w14:paraId="4795AE0D" w14:textId="77777777" w:rsidR="006D19EE" w:rsidRDefault="006D19EE" w:rsidP="00306116">
            <w:pPr>
              <w:autoSpaceDE w:val="0"/>
              <w:autoSpaceDN w:val="0"/>
              <w:adjustRightInd w:val="0"/>
              <w:rPr>
                <w:rFonts w:ascii="Arial" w:hAnsi="Arial" w:cs="Arial"/>
                <w:b/>
                <w:sz w:val="20"/>
                <w:szCs w:val="20"/>
              </w:rPr>
            </w:pPr>
            <w:r w:rsidRPr="003C792E">
              <w:rPr>
                <w:rFonts w:ascii="Arial" w:hAnsi="Arial" w:cs="Arial"/>
                <w:b/>
                <w:sz w:val="20"/>
                <w:szCs w:val="20"/>
              </w:rPr>
              <w:t>Agency activities supporting</w:t>
            </w:r>
          </w:p>
          <w:p w14:paraId="7677D126" w14:textId="77777777" w:rsidR="00306116" w:rsidRDefault="00306116" w:rsidP="00306116">
            <w:pPr>
              <w:autoSpaceDE w:val="0"/>
              <w:autoSpaceDN w:val="0"/>
              <w:adjustRightInd w:val="0"/>
              <w:rPr>
                <w:rFonts w:ascii="Arial" w:hAnsi="Arial" w:cs="Arial"/>
                <w:b/>
                <w:sz w:val="20"/>
                <w:szCs w:val="20"/>
              </w:rPr>
            </w:pPr>
          </w:p>
          <w:p w14:paraId="217ABC85" w14:textId="63F84C58" w:rsidR="006D19EE" w:rsidRPr="003C792E" w:rsidRDefault="006D19EE" w:rsidP="00306116">
            <w:pPr>
              <w:autoSpaceDE w:val="0"/>
              <w:autoSpaceDN w:val="0"/>
              <w:adjustRightInd w:val="0"/>
              <w:rPr>
                <w:rFonts w:ascii="Arial" w:hAnsi="Arial" w:cs="Arial"/>
                <w:b/>
                <w:sz w:val="20"/>
                <w:szCs w:val="20"/>
              </w:rPr>
            </w:pPr>
            <w:r w:rsidRPr="003C792E">
              <w:rPr>
                <w:rFonts w:ascii="Arial" w:hAnsi="Arial" w:cs="Arial"/>
                <w:b/>
                <w:sz w:val="20"/>
                <w:szCs w:val="20"/>
              </w:rPr>
              <w:t xml:space="preserve"> </w:t>
            </w:r>
            <w:r w:rsidRPr="003C792E">
              <w:rPr>
                <w:rFonts w:ascii="Arial" w:hAnsi="Arial" w:cs="Arial"/>
                <w:b/>
                <w:color w:val="7030A0"/>
                <w:sz w:val="20"/>
                <w:szCs w:val="20"/>
              </w:rPr>
              <w:t>Key Action 5</w:t>
            </w:r>
          </w:p>
        </w:tc>
        <w:tc>
          <w:tcPr>
            <w:tcW w:w="567" w:type="pct"/>
            <w:tcBorders>
              <w:bottom w:val="single" w:sz="4" w:space="0" w:color="C0504D"/>
            </w:tcBorders>
            <w:shd w:val="clear" w:color="auto" w:fill="D9D9D9" w:themeFill="background1" w:themeFillShade="D9"/>
          </w:tcPr>
          <w:p w14:paraId="7C9F0AF0" w14:textId="77777777" w:rsidR="006D19EE" w:rsidRPr="003C792E" w:rsidRDefault="006D19EE" w:rsidP="00FF3B88">
            <w:pPr>
              <w:autoSpaceDE w:val="0"/>
              <w:autoSpaceDN w:val="0"/>
              <w:adjustRightInd w:val="0"/>
              <w:spacing w:after="120"/>
              <w:rPr>
                <w:rFonts w:ascii="Arial" w:hAnsi="Arial" w:cs="Arial"/>
                <w:b/>
                <w:sz w:val="20"/>
                <w:szCs w:val="20"/>
              </w:rPr>
            </w:pPr>
            <w:r w:rsidRPr="003C792E">
              <w:rPr>
                <w:rFonts w:ascii="Arial" w:hAnsi="Arial" w:cs="Arial"/>
                <w:b/>
                <w:sz w:val="20"/>
                <w:szCs w:val="20"/>
              </w:rPr>
              <w:t>Progress status for 202</w:t>
            </w:r>
            <w:r>
              <w:rPr>
                <w:rFonts w:ascii="Arial" w:hAnsi="Arial" w:cs="Arial"/>
                <w:b/>
                <w:sz w:val="20"/>
                <w:szCs w:val="20"/>
              </w:rPr>
              <w:t>3</w:t>
            </w:r>
            <w:r w:rsidRPr="003C792E">
              <w:rPr>
                <w:rFonts w:ascii="Arial" w:hAnsi="Arial" w:cs="Arial"/>
                <w:b/>
                <w:sz w:val="20"/>
                <w:szCs w:val="20"/>
              </w:rPr>
              <w:t>-2</w:t>
            </w:r>
            <w:r>
              <w:rPr>
                <w:rFonts w:ascii="Arial" w:hAnsi="Arial" w:cs="Arial"/>
                <w:b/>
                <w:sz w:val="20"/>
                <w:szCs w:val="20"/>
              </w:rPr>
              <w:t>4</w:t>
            </w:r>
          </w:p>
        </w:tc>
        <w:tc>
          <w:tcPr>
            <w:tcW w:w="3557" w:type="pct"/>
            <w:tcBorders>
              <w:bottom w:val="single" w:sz="4" w:space="0" w:color="C0504D"/>
            </w:tcBorders>
            <w:shd w:val="clear" w:color="auto" w:fill="D9D9D9" w:themeFill="background1" w:themeFillShade="D9"/>
          </w:tcPr>
          <w:p w14:paraId="74583762" w14:textId="77777777" w:rsidR="006D19EE" w:rsidRDefault="006D19EE" w:rsidP="00FF3B88">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7751AACD" w14:textId="45FC2E70" w:rsidR="006D19EE" w:rsidRPr="003C792E" w:rsidRDefault="006D19EE" w:rsidP="00FF3B88">
            <w:pPr>
              <w:autoSpaceDE w:val="0"/>
              <w:autoSpaceDN w:val="0"/>
              <w:adjustRightInd w:val="0"/>
              <w:spacing w:after="120"/>
              <w:rPr>
                <w:rFonts w:ascii="Arial" w:hAnsi="Arial" w:cs="Arial"/>
                <w:b/>
                <w:sz w:val="20"/>
                <w:szCs w:val="20"/>
              </w:rPr>
            </w:pPr>
          </w:p>
        </w:tc>
      </w:tr>
      <w:tr w:rsidR="00AA6C62" w:rsidRPr="00417B8B" w14:paraId="61A130A3" w14:textId="77777777" w:rsidTr="006D19EE">
        <w:trPr>
          <w:trHeight w:val="680"/>
        </w:trPr>
        <w:tc>
          <w:tcPr>
            <w:tcW w:w="876" w:type="pct"/>
            <w:shd w:val="clear" w:color="auto" w:fill="auto"/>
          </w:tcPr>
          <w:p w14:paraId="45C29E90" w14:textId="444938E5" w:rsidR="006D19EE" w:rsidRPr="00263BE9" w:rsidRDefault="006D19EE" w:rsidP="00FF3B88">
            <w:pPr>
              <w:autoSpaceDE w:val="0"/>
              <w:autoSpaceDN w:val="0"/>
              <w:adjustRightInd w:val="0"/>
              <w:spacing w:before="120"/>
              <w:rPr>
                <w:rFonts w:ascii="Arial" w:hAnsi="Arial" w:cs="Arial"/>
                <w:sz w:val="18"/>
                <w:szCs w:val="18"/>
              </w:rPr>
            </w:pPr>
            <w:r w:rsidRPr="00263BE9">
              <w:rPr>
                <w:rFonts w:ascii="Arial" w:hAnsi="Arial" w:cs="Arial"/>
                <w:sz w:val="18"/>
                <w:szCs w:val="18"/>
              </w:rPr>
              <w:t>Queensland Corrective Services will increase the use of translation services for CALD people engaged with Community Corrections.</w:t>
            </w:r>
          </w:p>
        </w:tc>
        <w:tc>
          <w:tcPr>
            <w:tcW w:w="567" w:type="pct"/>
            <w:shd w:val="clear" w:color="auto" w:fill="auto"/>
          </w:tcPr>
          <w:p w14:paraId="5649CB62" w14:textId="096AD6DE" w:rsidR="006D19EE" w:rsidRPr="00263BE9" w:rsidRDefault="00306116" w:rsidP="00FF3B88">
            <w:pPr>
              <w:autoSpaceDE w:val="0"/>
              <w:autoSpaceDN w:val="0"/>
              <w:adjustRightInd w:val="0"/>
              <w:rPr>
                <w:rFonts w:ascii="Arial" w:eastAsiaTheme="majorEastAsia" w:hAnsi="Arial" w:cs="Arial"/>
                <w:b/>
                <w:sz w:val="18"/>
                <w:szCs w:val="18"/>
              </w:rPr>
            </w:pPr>
            <w:sdt>
              <w:sdtPr>
                <w:rPr>
                  <w:rFonts w:ascii="Arial" w:eastAsiaTheme="majorEastAsia" w:hAnsi="Arial" w:cs="Arial"/>
                  <w:b/>
                  <w:sz w:val="18"/>
                  <w:szCs w:val="18"/>
                </w:rPr>
                <w:alias w:val="Final Status"/>
                <w:tag w:val="Final Status"/>
                <w:id w:val="968252498"/>
                <w:placeholder>
                  <w:docPart w:val="D6936D5C06604208835662D7AD500FC7"/>
                </w:placeholder>
                <w:dropDownList>
                  <w:listItem w:displayText="Choose a final status" w:value="Choose a final status"/>
                  <w:listItem w:displayText="Delivered" w:value="Delivered"/>
                  <w:listItem w:displayText="Not delivered" w:value="Not delivered"/>
                </w:dropDownList>
              </w:sdtPr>
              <w:sdtEndPr/>
              <w:sdtContent>
                <w:r w:rsidR="0044605A">
                  <w:rPr>
                    <w:rFonts w:ascii="Arial" w:eastAsiaTheme="majorEastAsia" w:hAnsi="Arial" w:cs="Arial"/>
                    <w:b/>
                    <w:sz w:val="18"/>
                    <w:szCs w:val="18"/>
                  </w:rPr>
                  <w:t>Delivered</w:t>
                </w:r>
              </w:sdtContent>
            </w:sdt>
          </w:p>
        </w:tc>
        <w:tc>
          <w:tcPr>
            <w:tcW w:w="3557" w:type="pct"/>
          </w:tcPr>
          <w:p w14:paraId="3DD5E344" w14:textId="422795C5" w:rsidR="006D19EE" w:rsidRPr="00497F78" w:rsidRDefault="006D19EE" w:rsidP="00804E1A">
            <w:pPr>
              <w:autoSpaceDE w:val="0"/>
              <w:autoSpaceDN w:val="0"/>
              <w:adjustRightInd w:val="0"/>
              <w:rPr>
                <w:rFonts w:ascii="Arial" w:hAnsi="Arial" w:cs="Arial"/>
                <w:bCs/>
                <w:sz w:val="18"/>
                <w:szCs w:val="18"/>
              </w:rPr>
            </w:pPr>
            <w:r w:rsidRPr="00497F78">
              <w:rPr>
                <w:rFonts w:ascii="Arial" w:hAnsi="Arial" w:cs="Arial"/>
                <w:bCs/>
                <w:sz w:val="18"/>
                <w:szCs w:val="18"/>
              </w:rPr>
              <w:t xml:space="preserve">Guidelines were published on the Queensland Corrective Services (QCS) intranet in 2022-23 regarding the whole-of-government Standing Offer Arrangement for the provision of translator and interpreter services, including a list of services officers may access. </w:t>
            </w:r>
          </w:p>
          <w:p w14:paraId="504BD082" w14:textId="77777777" w:rsidR="006D19EE" w:rsidRPr="00497F78" w:rsidRDefault="006D19EE" w:rsidP="00804E1A">
            <w:pPr>
              <w:autoSpaceDE w:val="0"/>
              <w:autoSpaceDN w:val="0"/>
              <w:adjustRightInd w:val="0"/>
              <w:rPr>
                <w:rFonts w:ascii="Arial" w:hAnsi="Arial" w:cs="Arial"/>
                <w:bCs/>
                <w:sz w:val="18"/>
                <w:szCs w:val="18"/>
              </w:rPr>
            </w:pPr>
          </w:p>
          <w:p w14:paraId="296608D9" w14:textId="356B4FD4" w:rsidR="006D19EE" w:rsidRPr="00497F78" w:rsidRDefault="006D19EE" w:rsidP="00804E1A">
            <w:pPr>
              <w:autoSpaceDE w:val="0"/>
              <w:autoSpaceDN w:val="0"/>
              <w:adjustRightInd w:val="0"/>
              <w:rPr>
                <w:rFonts w:ascii="Arial" w:hAnsi="Arial" w:cs="Arial"/>
                <w:bCs/>
                <w:sz w:val="18"/>
                <w:szCs w:val="18"/>
              </w:rPr>
            </w:pPr>
            <w:r w:rsidRPr="00497F78">
              <w:rPr>
                <w:rFonts w:ascii="Arial" w:hAnsi="Arial" w:cs="Arial"/>
                <w:bCs/>
                <w:sz w:val="18"/>
                <w:szCs w:val="18"/>
              </w:rPr>
              <w:t xml:space="preserve">In 2023-24, Community Corrections’ expenditure across the state on translation and interpreter services increased slightly from the 2022-23 expenditure. In 2023-24, Community Corrections spent approximately $8,900 on translation an interpreter </w:t>
            </w:r>
            <w:proofErr w:type="gramStart"/>
            <w:r w:rsidRPr="00497F78">
              <w:rPr>
                <w:rFonts w:ascii="Arial" w:hAnsi="Arial" w:cs="Arial"/>
                <w:bCs/>
                <w:sz w:val="18"/>
                <w:szCs w:val="18"/>
              </w:rPr>
              <w:t>services</w:t>
            </w:r>
            <w:proofErr w:type="gramEnd"/>
            <w:r w:rsidRPr="00497F78">
              <w:rPr>
                <w:rFonts w:ascii="Arial" w:hAnsi="Arial" w:cs="Arial"/>
                <w:bCs/>
                <w:sz w:val="18"/>
                <w:szCs w:val="18"/>
              </w:rPr>
              <w:t xml:space="preserve">. </w:t>
            </w:r>
          </w:p>
          <w:p w14:paraId="686A1604" w14:textId="77777777" w:rsidR="006D19EE" w:rsidRPr="00497F78" w:rsidRDefault="006D19EE" w:rsidP="00804E1A">
            <w:pPr>
              <w:autoSpaceDE w:val="0"/>
              <w:autoSpaceDN w:val="0"/>
              <w:adjustRightInd w:val="0"/>
              <w:rPr>
                <w:rFonts w:ascii="Arial" w:hAnsi="Arial" w:cs="Arial"/>
                <w:bCs/>
                <w:sz w:val="18"/>
                <w:szCs w:val="18"/>
              </w:rPr>
            </w:pPr>
          </w:p>
          <w:p w14:paraId="4F36E8CB" w14:textId="6A5D6EEE" w:rsidR="006D19EE" w:rsidRPr="00497F78" w:rsidRDefault="006D19EE" w:rsidP="000E4A17">
            <w:pPr>
              <w:autoSpaceDE w:val="0"/>
              <w:autoSpaceDN w:val="0"/>
              <w:adjustRightInd w:val="0"/>
              <w:rPr>
                <w:rFonts w:ascii="Arial" w:hAnsi="Arial" w:cs="Arial"/>
                <w:sz w:val="18"/>
                <w:szCs w:val="18"/>
              </w:rPr>
            </w:pPr>
            <w:r w:rsidRPr="00497F78">
              <w:rPr>
                <w:rFonts w:ascii="Arial" w:hAnsi="Arial" w:cs="Arial"/>
                <w:bCs/>
                <w:sz w:val="18"/>
                <w:szCs w:val="18"/>
              </w:rPr>
              <w:t xml:space="preserve">Community Corrections staff are aware they should use translation </w:t>
            </w:r>
            <w:r w:rsidRPr="00497F78">
              <w:rPr>
                <w:rFonts w:ascii="Arial" w:hAnsi="Arial" w:cs="Arial"/>
                <w:sz w:val="18"/>
                <w:szCs w:val="18"/>
              </w:rPr>
              <w:t>services where required and appropriate, noting the Operational Practice Guidelines directs staff to do so when</w:t>
            </w:r>
            <w:r w:rsidRPr="006D19EE">
              <w:rPr>
                <w:rFonts w:ascii="Arial" w:hAnsi="Arial" w:cs="Arial"/>
                <w:sz w:val="18"/>
                <w:szCs w:val="18"/>
              </w:rPr>
              <w:t xml:space="preserve"> </w:t>
            </w:r>
            <w:r w:rsidRPr="00497F78">
              <w:rPr>
                <w:rFonts w:ascii="Arial" w:hAnsi="Arial" w:cs="Arial"/>
                <w:sz w:val="18"/>
                <w:szCs w:val="18"/>
              </w:rPr>
              <w:t xml:space="preserve">a supervised individual has difficulties in understanding or communicating in English. </w:t>
            </w:r>
          </w:p>
          <w:p w14:paraId="088D8559" w14:textId="77777777" w:rsidR="006D19EE" w:rsidRPr="00497F78" w:rsidRDefault="006D19EE" w:rsidP="000E4A17">
            <w:pPr>
              <w:autoSpaceDE w:val="0"/>
              <w:autoSpaceDN w:val="0"/>
              <w:adjustRightInd w:val="0"/>
              <w:rPr>
                <w:rFonts w:ascii="Arial" w:hAnsi="Arial" w:cs="Arial"/>
                <w:sz w:val="18"/>
                <w:szCs w:val="18"/>
              </w:rPr>
            </w:pPr>
          </w:p>
          <w:p w14:paraId="0BFEE820" w14:textId="38415364" w:rsidR="006D19EE" w:rsidRPr="006D19EE" w:rsidRDefault="006D19EE" w:rsidP="00804E1A">
            <w:pPr>
              <w:autoSpaceDE w:val="0"/>
              <w:autoSpaceDN w:val="0"/>
              <w:adjustRightInd w:val="0"/>
              <w:rPr>
                <w:rFonts w:ascii="Arial" w:hAnsi="Arial" w:cs="Arial"/>
                <w:bCs/>
                <w:sz w:val="18"/>
                <w:szCs w:val="18"/>
              </w:rPr>
            </w:pPr>
            <w:r w:rsidRPr="00497F78">
              <w:rPr>
                <w:rFonts w:ascii="Arial" w:hAnsi="Arial" w:cs="Arial"/>
                <w:sz w:val="18"/>
                <w:szCs w:val="18"/>
              </w:rPr>
              <w:t>Further, in 2024, if they felt comfortable to do so staff members from across the state who speak a language other than English nominated the alternative language/s they spoke and were agreeable to supporting staff from other office locations with translation services, where of benefit and appropriate.</w:t>
            </w:r>
          </w:p>
          <w:p w14:paraId="3D57854A" w14:textId="3160C2B2" w:rsidR="006D19EE" w:rsidRPr="006D19EE" w:rsidRDefault="006D19EE" w:rsidP="00804E1A">
            <w:pPr>
              <w:autoSpaceDE w:val="0"/>
              <w:autoSpaceDN w:val="0"/>
              <w:adjustRightInd w:val="0"/>
              <w:rPr>
                <w:rFonts w:ascii="Arial" w:hAnsi="Arial" w:cs="Arial"/>
                <w:bCs/>
                <w:i/>
                <w:iCs/>
                <w:sz w:val="18"/>
                <w:szCs w:val="18"/>
              </w:rPr>
            </w:pPr>
          </w:p>
        </w:tc>
      </w:tr>
      <w:tr w:rsidR="00AA6C62" w:rsidRPr="00417B8B" w14:paraId="43DD5C5E" w14:textId="77777777" w:rsidTr="006D19EE">
        <w:trPr>
          <w:trHeight w:val="680"/>
        </w:trPr>
        <w:tc>
          <w:tcPr>
            <w:tcW w:w="876" w:type="pct"/>
            <w:shd w:val="clear" w:color="auto" w:fill="auto"/>
          </w:tcPr>
          <w:p w14:paraId="7FD3C55D" w14:textId="0A5E368F" w:rsidR="006D19EE" w:rsidRPr="00E7125F" w:rsidRDefault="006D19EE" w:rsidP="00FF3B88">
            <w:pPr>
              <w:autoSpaceDE w:val="0"/>
              <w:autoSpaceDN w:val="0"/>
              <w:adjustRightInd w:val="0"/>
              <w:spacing w:before="120"/>
              <w:rPr>
                <w:rFonts w:ascii="Arial" w:hAnsi="Arial" w:cs="Arial"/>
                <w:sz w:val="18"/>
                <w:szCs w:val="18"/>
              </w:rPr>
            </w:pPr>
            <w:bookmarkStart w:id="9" w:name="_Hlk175558561"/>
            <w:r w:rsidRPr="002C37C0">
              <w:rPr>
                <w:rFonts w:ascii="Arial" w:hAnsi="Arial" w:cs="Arial"/>
                <w:sz w:val="18"/>
                <w:szCs w:val="18"/>
              </w:rPr>
              <w:lastRenderedPageBreak/>
              <w:t>Queensland Corrective Services will assess the viability of providing copies of key information documents, such as the Prisoner Induction Handbook, in the most common non-English languages.</w:t>
            </w:r>
            <w:bookmarkEnd w:id="9"/>
          </w:p>
        </w:tc>
        <w:tc>
          <w:tcPr>
            <w:tcW w:w="567" w:type="pct"/>
            <w:shd w:val="clear" w:color="auto" w:fill="auto"/>
          </w:tcPr>
          <w:p w14:paraId="7A476D0E" w14:textId="62BE2A60" w:rsidR="006D19EE" w:rsidRPr="00E7125F" w:rsidRDefault="00306116" w:rsidP="00FF3B88">
            <w:pPr>
              <w:autoSpaceDE w:val="0"/>
              <w:autoSpaceDN w:val="0"/>
              <w:adjustRightInd w:val="0"/>
              <w:rPr>
                <w:rFonts w:ascii="Arial" w:hAnsi="Arial" w:cs="Arial"/>
                <w:b/>
                <w:sz w:val="18"/>
                <w:szCs w:val="18"/>
              </w:rPr>
            </w:pPr>
            <w:sdt>
              <w:sdtPr>
                <w:rPr>
                  <w:rFonts w:ascii="Arial" w:eastAsiaTheme="majorEastAsia" w:hAnsi="Arial" w:cs="Arial"/>
                  <w:b/>
                  <w:sz w:val="18"/>
                  <w:szCs w:val="18"/>
                </w:rPr>
                <w:alias w:val="Final Status"/>
                <w:tag w:val="Final Status"/>
                <w:id w:val="579030245"/>
                <w:placeholder>
                  <w:docPart w:val="68038FF426854AD3849D2A70D9197380"/>
                </w:placeholder>
                <w:dropDownList>
                  <w:listItem w:displayText="Choose a final status" w:value="Choose a final status"/>
                  <w:listItem w:displayText="Delivered" w:value="Delivered"/>
                  <w:listItem w:displayText="Not delivered" w:value="Not delivered"/>
                </w:dropDownList>
              </w:sdtPr>
              <w:sdtEndPr/>
              <w:sdtContent>
                <w:r w:rsidR="006D19EE">
                  <w:rPr>
                    <w:rFonts w:ascii="Arial" w:eastAsiaTheme="majorEastAsia" w:hAnsi="Arial" w:cs="Arial"/>
                    <w:b/>
                    <w:sz w:val="18"/>
                    <w:szCs w:val="18"/>
                  </w:rPr>
                  <w:t>Delivered</w:t>
                </w:r>
              </w:sdtContent>
            </w:sdt>
          </w:p>
        </w:tc>
        <w:tc>
          <w:tcPr>
            <w:tcW w:w="3557" w:type="pct"/>
          </w:tcPr>
          <w:p w14:paraId="6ADD4345" w14:textId="01F68CAA" w:rsidR="006D19EE" w:rsidRPr="00497F78" w:rsidRDefault="006D19EE" w:rsidP="00804E1A">
            <w:pPr>
              <w:autoSpaceDE w:val="0"/>
              <w:autoSpaceDN w:val="0"/>
              <w:adjustRightInd w:val="0"/>
              <w:rPr>
                <w:rFonts w:ascii="Arial" w:hAnsi="Arial" w:cs="Arial"/>
                <w:sz w:val="18"/>
                <w:szCs w:val="18"/>
              </w:rPr>
            </w:pPr>
            <w:r w:rsidRPr="00497F78">
              <w:rPr>
                <w:rFonts w:ascii="Arial" w:hAnsi="Arial" w:cs="Arial"/>
                <w:sz w:val="18"/>
                <w:szCs w:val="18"/>
              </w:rPr>
              <w:t>Queensland Corrective Services (QCS) has assessed the viability of providing copies of key information documents in the most common non-English languages. To allow QCS to understand what the common non-English languages are at any given time, enhancements are required to the Integrated Offender Management System (IOMS) to collect this diversity data (Key Action 4). Due to other critical updates to IOMS, this work does not have an expected end date.</w:t>
            </w:r>
          </w:p>
          <w:p w14:paraId="4BE0EAAB" w14:textId="77777777" w:rsidR="006D19EE" w:rsidRPr="00497F78" w:rsidRDefault="006D19EE" w:rsidP="00804E1A">
            <w:pPr>
              <w:autoSpaceDE w:val="0"/>
              <w:autoSpaceDN w:val="0"/>
              <w:adjustRightInd w:val="0"/>
              <w:rPr>
                <w:rFonts w:ascii="Arial" w:hAnsi="Arial" w:cs="Arial"/>
                <w:sz w:val="18"/>
                <w:szCs w:val="18"/>
              </w:rPr>
            </w:pPr>
          </w:p>
          <w:p w14:paraId="33A5AF4A" w14:textId="561A2DA1" w:rsidR="006D19EE" w:rsidRPr="00497F78" w:rsidRDefault="006D19EE" w:rsidP="005113DE">
            <w:pPr>
              <w:autoSpaceDE w:val="0"/>
              <w:autoSpaceDN w:val="0"/>
              <w:adjustRightInd w:val="0"/>
              <w:rPr>
                <w:rFonts w:ascii="Arial" w:hAnsi="Arial" w:cs="Arial"/>
                <w:sz w:val="18"/>
                <w:szCs w:val="18"/>
              </w:rPr>
            </w:pPr>
            <w:r w:rsidRPr="00497F78">
              <w:rPr>
                <w:rFonts w:ascii="Arial" w:hAnsi="Arial" w:cs="Arial"/>
                <w:bCs/>
                <w:sz w:val="18"/>
                <w:szCs w:val="18"/>
              </w:rPr>
              <w:t xml:space="preserve">Updates have been progressed to enhance Custodial Operations Practice Directives (COPD’s) to better utilise the </w:t>
            </w:r>
            <w:r w:rsidRPr="00497F78">
              <w:rPr>
                <w:rFonts w:ascii="Arial" w:hAnsi="Arial" w:cs="Arial"/>
                <w:sz w:val="18"/>
                <w:szCs w:val="18"/>
              </w:rPr>
              <w:t xml:space="preserve">whole-of-government Standing Offer Arrangement (SOA) for the provision of translator and interpreter services when making these key information documents available. When finalised, centres will be reminded how to access the SOA to ensure documents such as the Prisoner Induction Handbook can be made available. </w:t>
            </w:r>
          </w:p>
          <w:p w14:paraId="76428B83" w14:textId="77777777" w:rsidR="006D19EE" w:rsidRPr="00497F78" w:rsidRDefault="006D19EE" w:rsidP="005113DE">
            <w:pPr>
              <w:autoSpaceDE w:val="0"/>
              <w:autoSpaceDN w:val="0"/>
              <w:adjustRightInd w:val="0"/>
              <w:rPr>
                <w:rFonts w:ascii="Arial" w:hAnsi="Arial" w:cs="Arial"/>
                <w:sz w:val="18"/>
                <w:szCs w:val="18"/>
              </w:rPr>
            </w:pPr>
          </w:p>
          <w:p w14:paraId="53EF3984" w14:textId="5C47581B" w:rsidR="006D19EE" w:rsidRPr="006D19EE" w:rsidRDefault="006D19EE" w:rsidP="005113DE">
            <w:pPr>
              <w:autoSpaceDE w:val="0"/>
              <w:autoSpaceDN w:val="0"/>
              <w:adjustRightInd w:val="0"/>
              <w:rPr>
                <w:rFonts w:ascii="Arial" w:hAnsi="Arial" w:cs="Arial"/>
                <w:sz w:val="18"/>
                <w:szCs w:val="18"/>
              </w:rPr>
            </w:pPr>
            <w:r w:rsidRPr="00497F78">
              <w:rPr>
                <w:rFonts w:ascii="Arial" w:hAnsi="Arial" w:cs="Arial"/>
                <w:sz w:val="18"/>
                <w:szCs w:val="18"/>
              </w:rPr>
              <w:t>QCS is also investigating whether translation pens could be utilised to translate documents</w:t>
            </w:r>
            <w:r w:rsidRPr="006D19EE">
              <w:rPr>
                <w:rFonts w:ascii="Arial" w:hAnsi="Arial" w:cs="Arial"/>
                <w:sz w:val="18"/>
                <w:szCs w:val="18"/>
              </w:rPr>
              <w:t xml:space="preserve">. </w:t>
            </w:r>
          </w:p>
          <w:p w14:paraId="18DD89BF" w14:textId="4302A72D" w:rsidR="006D19EE" w:rsidRPr="006D19EE" w:rsidRDefault="006D19EE" w:rsidP="005113DE">
            <w:pPr>
              <w:autoSpaceDE w:val="0"/>
              <w:autoSpaceDN w:val="0"/>
              <w:adjustRightInd w:val="0"/>
              <w:rPr>
                <w:rFonts w:ascii="Arial" w:hAnsi="Arial" w:cs="Arial"/>
                <w:sz w:val="18"/>
                <w:szCs w:val="18"/>
              </w:rPr>
            </w:pPr>
          </w:p>
          <w:p w14:paraId="349BE694" w14:textId="75D5745A" w:rsidR="006D19EE" w:rsidRPr="00497F78" w:rsidRDefault="006D19EE" w:rsidP="00B13A8B">
            <w:pPr>
              <w:autoSpaceDE w:val="0"/>
              <w:autoSpaceDN w:val="0"/>
              <w:adjustRightInd w:val="0"/>
              <w:rPr>
                <w:rFonts w:ascii="Arial" w:hAnsi="Arial" w:cs="Arial"/>
                <w:sz w:val="18"/>
                <w:szCs w:val="18"/>
              </w:rPr>
            </w:pPr>
            <w:r w:rsidRPr="00497F78">
              <w:rPr>
                <w:rFonts w:ascii="Arial" w:hAnsi="Arial" w:cs="Arial"/>
                <w:sz w:val="18"/>
                <w:szCs w:val="18"/>
              </w:rPr>
              <w:t xml:space="preserve">Community Corrections are currently reviewing trend data to determine which languages, other than English, are most common across the supervised individual cohort. </w:t>
            </w:r>
          </w:p>
          <w:p w14:paraId="5BE99275" w14:textId="77777777" w:rsidR="006D19EE" w:rsidRPr="00497F78" w:rsidRDefault="006D19EE" w:rsidP="00B13A8B">
            <w:pPr>
              <w:autoSpaceDE w:val="0"/>
              <w:autoSpaceDN w:val="0"/>
              <w:adjustRightInd w:val="0"/>
              <w:rPr>
                <w:rFonts w:ascii="Arial" w:hAnsi="Arial" w:cs="Arial"/>
                <w:sz w:val="18"/>
                <w:szCs w:val="18"/>
              </w:rPr>
            </w:pPr>
          </w:p>
          <w:p w14:paraId="3ACF758C" w14:textId="1FABABFB" w:rsidR="006D19EE" w:rsidRPr="006D19EE" w:rsidRDefault="006D19EE" w:rsidP="00804E1A">
            <w:pPr>
              <w:autoSpaceDE w:val="0"/>
              <w:autoSpaceDN w:val="0"/>
              <w:adjustRightInd w:val="0"/>
              <w:rPr>
                <w:rFonts w:ascii="Arial" w:hAnsi="Arial" w:cs="Arial"/>
                <w:bCs/>
                <w:i/>
                <w:iCs/>
                <w:color w:val="4472C4" w:themeColor="accent1"/>
                <w:sz w:val="18"/>
                <w:szCs w:val="18"/>
              </w:rPr>
            </w:pPr>
            <w:r w:rsidRPr="00497F78">
              <w:rPr>
                <w:rFonts w:ascii="Arial" w:hAnsi="Arial" w:cs="Arial"/>
                <w:sz w:val="18"/>
                <w:szCs w:val="18"/>
              </w:rPr>
              <w:t>Once determined, the SOA will be utilised to engage the appropriate service to translate frequently used documents, such as induction packs, into those languages.</w:t>
            </w:r>
          </w:p>
        </w:tc>
      </w:tr>
      <w:tr w:rsidR="00AA6C62" w:rsidRPr="00417B8B" w14:paraId="29459845" w14:textId="77777777" w:rsidTr="006D19EE">
        <w:trPr>
          <w:trHeight w:val="680"/>
        </w:trPr>
        <w:tc>
          <w:tcPr>
            <w:tcW w:w="876" w:type="pct"/>
            <w:shd w:val="clear" w:color="auto" w:fill="auto"/>
          </w:tcPr>
          <w:p w14:paraId="3135C325" w14:textId="707E9759" w:rsidR="006D19EE" w:rsidRPr="002C37C0" w:rsidRDefault="006D19EE" w:rsidP="004970B5">
            <w:pPr>
              <w:autoSpaceDE w:val="0"/>
              <w:autoSpaceDN w:val="0"/>
              <w:adjustRightInd w:val="0"/>
              <w:spacing w:before="120"/>
              <w:rPr>
                <w:rFonts w:ascii="Arial" w:hAnsi="Arial" w:cs="Arial"/>
                <w:sz w:val="18"/>
                <w:szCs w:val="18"/>
              </w:rPr>
            </w:pPr>
            <w:r w:rsidRPr="00263BE9">
              <w:rPr>
                <w:rFonts w:ascii="Arial" w:hAnsi="Arial" w:cs="Arial"/>
                <w:sz w:val="18"/>
                <w:szCs w:val="18"/>
              </w:rPr>
              <w:t>For agencies involved in front line service delivery, support the whole-of</w:t>
            </w:r>
            <w:r>
              <w:rPr>
                <w:rFonts w:ascii="Arial" w:hAnsi="Arial" w:cs="Arial"/>
                <w:sz w:val="18"/>
                <w:szCs w:val="18"/>
              </w:rPr>
              <w:t>-</w:t>
            </w:r>
            <w:r w:rsidRPr="00263BE9">
              <w:rPr>
                <w:rFonts w:ascii="Arial" w:hAnsi="Arial" w:cs="Arial"/>
                <w:sz w:val="18"/>
                <w:szCs w:val="18"/>
              </w:rPr>
              <w:t>government Standing</w:t>
            </w:r>
            <w:r>
              <w:rPr>
                <w:rFonts w:ascii="Arial" w:hAnsi="Arial" w:cs="Arial"/>
                <w:sz w:val="18"/>
                <w:szCs w:val="18"/>
              </w:rPr>
              <w:t xml:space="preserve"> </w:t>
            </w:r>
            <w:r w:rsidRPr="00263BE9">
              <w:rPr>
                <w:rFonts w:ascii="Arial" w:hAnsi="Arial" w:cs="Arial"/>
                <w:sz w:val="18"/>
                <w:szCs w:val="18"/>
              </w:rPr>
              <w:t>Offer Arrangement for the provision of interpreting and translation services.</w:t>
            </w:r>
          </w:p>
        </w:tc>
        <w:tc>
          <w:tcPr>
            <w:tcW w:w="567" w:type="pct"/>
            <w:shd w:val="clear" w:color="auto" w:fill="auto"/>
          </w:tcPr>
          <w:p w14:paraId="768C2460" w14:textId="632C4575" w:rsidR="006D19EE" w:rsidRPr="00E7125F" w:rsidRDefault="00306116" w:rsidP="004970B5">
            <w:pPr>
              <w:autoSpaceDE w:val="0"/>
              <w:autoSpaceDN w:val="0"/>
              <w:adjustRightInd w:val="0"/>
              <w:rPr>
                <w:rFonts w:ascii="Arial" w:hAnsi="Arial" w:cs="Arial"/>
                <w:b/>
                <w:sz w:val="18"/>
                <w:szCs w:val="18"/>
              </w:rPr>
            </w:pPr>
            <w:sdt>
              <w:sdtPr>
                <w:rPr>
                  <w:rFonts w:ascii="Arial" w:eastAsiaTheme="majorEastAsia" w:hAnsi="Arial" w:cs="Arial"/>
                  <w:b/>
                  <w:sz w:val="18"/>
                  <w:szCs w:val="18"/>
                </w:rPr>
                <w:alias w:val="Final Status"/>
                <w:tag w:val="Final Status"/>
                <w:id w:val="261575134"/>
                <w:placeholder>
                  <w:docPart w:val="B7D81F8F4CAC48DCA42AA40287E99C22"/>
                </w:placeholder>
                <w:dropDownList>
                  <w:listItem w:displayText="Choose a final status" w:value="Choose a final status"/>
                  <w:listItem w:displayText="Delivered" w:value="Delivered"/>
                  <w:listItem w:displayText="Not delivered" w:value="Not delivered"/>
                </w:dropDownList>
              </w:sdtPr>
              <w:sdtEndPr/>
              <w:sdtContent>
                <w:r w:rsidR="006D19EE">
                  <w:rPr>
                    <w:rFonts w:ascii="Arial" w:eastAsiaTheme="majorEastAsia" w:hAnsi="Arial" w:cs="Arial"/>
                    <w:b/>
                    <w:sz w:val="18"/>
                    <w:szCs w:val="18"/>
                  </w:rPr>
                  <w:t>Delivered</w:t>
                </w:r>
              </w:sdtContent>
            </w:sdt>
          </w:p>
        </w:tc>
        <w:tc>
          <w:tcPr>
            <w:tcW w:w="3557" w:type="pct"/>
          </w:tcPr>
          <w:p w14:paraId="787314FA" w14:textId="1E8F4511" w:rsidR="006D19EE" w:rsidRPr="00497F78" w:rsidRDefault="006D19EE" w:rsidP="004970B5">
            <w:pPr>
              <w:autoSpaceDE w:val="0"/>
              <w:autoSpaceDN w:val="0"/>
              <w:adjustRightInd w:val="0"/>
              <w:rPr>
                <w:rFonts w:ascii="Arial" w:hAnsi="Arial" w:cs="Arial"/>
                <w:bCs/>
                <w:sz w:val="18"/>
                <w:szCs w:val="18"/>
              </w:rPr>
            </w:pPr>
            <w:r w:rsidRPr="00497F78">
              <w:rPr>
                <w:rFonts w:ascii="Arial" w:hAnsi="Arial" w:cs="Arial"/>
                <w:bCs/>
                <w:sz w:val="18"/>
                <w:szCs w:val="18"/>
              </w:rPr>
              <w:t xml:space="preserve">Guidelines have been published on the Queensland Corrective Services (QCS) intranet regarding the common-use supply arrangement for the provision of translator and interpreter services, including a list of services officers may access. </w:t>
            </w:r>
          </w:p>
          <w:p w14:paraId="137A2037" w14:textId="77777777" w:rsidR="006D19EE" w:rsidRPr="00497F78" w:rsidRDefault="006D19EE" w:rsidP="004970B5">
            <w:pPr>
              <w:autoSpaceDE w:val="0"/>
              <w:autoSpaceDN w:val="0"/>
              <w:adjustRightInd w:val="0"/>
              <w:rPr>
                <w:rFonts w:ascii="Arial" w:hAnsi="Arial" w:cs="Arial"/>
                <w:bCs/>
                <w:i/>
                <w:iCs/>
                <w:color w:val="4472C4" w:themeColor="accent1"/>
                <w:sz w:val="18"/>
                <w:szCs w:val="18"/>
              </w:rPr>
            </w:pPr>
          </w:p>
          <w:p w14:paraId="00AE3206" w14:textId="5A2C818E" w:rsidR="006D19EE" w:rsidRPr="006D19EE" w:rsidRDefault="006D19EE" w:rsidP="004970B5">
            <w:pPr>
              <w:autoSpaceDE w:val="0"/>
              <w:autoSpaceDN w:val="0"/>
              <w:adjustRightInd w:val="0"/>
              <w:rPr>
                <w:rFonts w:ascii="Arial" w:hAnsi="Arial" w:cs="Arial"/>
                <w:bCs/>
                <w:sz w:val="18"/>
                <w:szCs w:val="18"/>
              </w:rPr>
            </w:pPr>
            <w:r w:rsidRPr="00497F78">
              <w:rPr>
                <w:rFonts w:ascii="Arial" w:hAnsi="Arial" w:cs="Arial"/>
                <w:bCs/>
                <w:sz w:val="18"/>
                <w:szCs w:val="18"/>
              </w:rPr>
              <w:t>In 2023-24, QCS spent approximately $31,600 on translation and interpreter services.</w:t>
            </w:r>
          </w:p>
          <w:p w14:paraId="6A6B165B" w14:textId="1584B18D" w:rsidR="006D19EE" w:rsidRPr="006D19EE" w:rsidRDefault="006D19EE" w:rsidP="004970B5">
            <w:pPr>
              <w:autoSpaceDE w:val="0"/>
              <w:autoSpaceDN w:val="0"/>
              <w:adjustRightInd w:val="0"/>
              <w:rPr>
                <w:rFonts w:ascii="Arial" w:hAnsi="Arial" w:cs="Arial"/>
                <w:bCs/>
                <w:i/>
                <w:iCs/>
                <w:color w:val="4472C4" w:themeColor="accent1"/>
                <w:sz w:val="18"/>
                <w:szCs w:val="18"/>
              </w:rPr>
            </w:pPr>
          </w:p>
        </w:tc>
      </w:tr>
    </w:tbl>
    <w:p w14:paraId="1647A47A" w14:textId="77777777" w:rsidR="00E7125F" w:rsidRDefault="00E7125F" w:rsidP="00E7125F">
      <w:pPr>
        <w:rPr>
          <w:rFonts w:ascii="Arial" w:hAnsi="Arial" w:cs="Arial"/>
          <w:b/>
          <w:sz w:val="24"/>
          <w:szCs w:val="24"/>
        </w:rPr>
      </w:pPr>
    </w:p>
    <w:tbl>
      <w:tblPr>
        <w:tblStyle w:val="TableGrid"/>
        <w:tblW w:w="0" w:type="auto"/>
        <w:tblLook w:val="04A0" w:firstRow="1" w:lastRow="0" w:firstColumn="1" w:lastColumn="0" w:noHBand="0" w:noVBand="1"/>
      </w:tblPr>
      <w:tblGrid>
        <w:gridCol w:w="13948"/>
      </w:tblGrid>
      <w:tr w:rsidR="00E7125F" w14:paraId="4D139601" w14:textId="77777777" w:rsidTr="00FF3B88">
        <w:trPr>
          <w:trHeight w:val="283"/>
        </w:trPr>
        <w:tc>
          <w:tcPr>
            <w:tcW w:w="13948" w:type="dxa"/>
            <w:shd w:val="clear" w:color="auto" w:fill="D0CECE" w:themeFill="background2" w:themeFillShade="E6"/>
          </w:tcPr>
          <w:p w14:paraId="557D903F" w14:textId="6E55693A" w:rsidR="00E7125F" w:rsidRPr="00497F78" w:rsidRDefault="00E7125F" w:rsidP="00FF3B88">
            <w:pPr>
              <w:autoSpaceDE w:val="0"/>
              <w:autoSpaceDN w:val="0"/>
              <w:adjustRightInd w:val="0"/>
              <w:rPr>
                <w:rFonts w:ascii="Arial" w:hAnsi="Arial" w:cs="Arial"/>
                <w:b/>
                <w:sz w:val="20"/>
                <w:szCs w:val="20"/>
              </w:rPr>
            </w:pPr>
            <w:r w:rsidRPr="00497F78">
              <w:rPr>
                <w:rFonts w:ascii="Arial" w:hAnsi="Arial" w:cs="Arial"/>
                <w:b/>
                <w:sz w:val="20"/>
                <w:szCs w:val="20"/>
              </w:rPr>
              <w:t xml:space="preserve">Case studies or good news stories to highlight achievements relevant to </w:t>
            </w:r>
            <w:r w:rsidRPr="00497F78">
              <w:rPr>
                <w:rFonts w:ascii="Arial" w:hAnsi="Arial" w:cs="Arial"/>
                <w:b/>
                <w:color w:val="7030A0"/>
                <w:sz w:val="20"/>
                <w:szCs w:val="20"/>
              </w:rPr>
              <w:t xml:space="preserve">Key Action 5 </w:t>
            </w:r>
            <w:r w:rsidRPr="00497F78">
              <w:rPr>
                <w:rFonts w:ascii="Arial" w:hAnsi="Arial" w:cs="Arial"/>
                <w:b/>
                <w:sz w:val="20"/>
                <w:szCs w:val="20"/>
              </w:rPr>
              <w:t>(Interpreters and communication strategies):</w:t>
            </w:r>
          </w:p>
        </w:tc>
      </w:tr>
      <w:tr w:rsidR="00E7125F" w14:paraId="42E64BCD" w14:textId="77777777" w:rsidTr="00B13A8B">
        <w:trPr>
          <w:trHeight w:val="283"/>
        </w:trPr>
        <w:tc>
          <w:tcPr>
            <w:tcW w:w="13948" w:type="dxa"/>
            <w:shd w:val="clear" w:color="auto" w:fill="auto"/>
          </w:tcPr>
          <w:p w14:paraId="61BF7694" w14:textId="320954B9" w:rsidR="00E7125F" w:rsidRPr="00B13A8B" w:rsidRDefault="00FE2969" w:rsidP="00FF3B88">
            <w:pPr>
              <w:rPr>
                <w:rFonts w:ascii="Arial" w:hAnsi="Arial" w:cs="Arial"/>
                <w:sz w:val="20"/>
                <w:szCs w:val="20"/>
              </w:rPr>
            </w:pPr>
            <w:r w:rsidRPr="00497F78">
              <w:rPr>
                <w:rFonts w:ascii="Arial" w:hAnsi="Arial" w:cs="Arial"/>
                <w:sz w:val="20"/>
                <w:szCs w:val="20"/>
              </w:rPr>
              <w:t xml:space="preserve">Use of interpretation and translation services across Community Corrections has increased </w:t>
            </w:r>
            <w:r w:rsidR="003D5842" w:rsidRPr="00497F78">
              <w:rPr>
                <w:rFonts w:ascii="Arial" w:hAnsi="Arial" w:cs="Arial"/>
                <w:sz w:val="20"/>
                <w:szCs w:val="20"/>
              </w:rPr>
              <w:t xml:space="preserve">staff </w:t>
            </w:r>
            <w:r w:rsidRPr="00497F78">
              <w:rPr>
                <w:rFonts w:ascii="Arial" w:hAnsi="Arial" w:cs="Arial"/>
                <w:sz w:val="20"/>
                <w:szCs w:val="20"/>
              </w:rPr>
              <w:t xml:space="preserve">ability to engage with supervised individuals with limited English. Noting the importance of supervised individuals having a strong understanding of their Order conditions and requirements, ensuring this is communicated to individuals in their preferred language increases their capacity to comply. Supervised individuals have provided positive feedback </w:t>
            </w:r>
            <w:r w:rsidR="003D5842" w:rsidRPr="00497F78">
              <w:rPr>
                <w:rFonts w:ascii="Arial" w:hAnsi="Arial" w:cs="Arial"/>
                <w:sz w:val="20"/>
                <w:szCs w:val="20"/>
              </w:rPr>
              <w:t>about</w:t>
            </w:r>
            <w:r w:rsidRPr="00497F78">
              <w:rPr>
                <w:rFonts w:ascii="Arial" w:hAnsi="Arial" w:cs="Arial"/>
                <w:sz w:val="20"/>
                <w:szCs w:val="20"/>
              </w:rPr>
              <w:t xml:space="preserve"> the use of translation services, advising they feel better supported. It has also increased communication with support persons, with translation services having been used on occasion to engage with the families of supervised individuals.</w:t>
            </w:r>
            <w:r w:rsidRPr="00B13A8B">
              <w:rPr>
                <w:rFonts w:ascii="Arial" w:hAnsi="Arial" w:cs="Arial"/>
                <w:sz w:val="20"/>
                <w:szCs w:val="20"/>
              </w:rPr>
              <w:t xml:space="preserve"> </w:t>
            </w:r>
          </w:p>
          <w:p w14:paraId="036E8B65" w14:textId="7B8CAB0C" w:rsidR="00FE2969" w:rsidRDefault="00FE2969" w:rsidP="00FF3B88"/>
        </w:tc>
      </w:tr>
    </w:tbl>
    <w:p w14:paraId="7F8D9B3D" w14:textId="77777777" w:rsidR="00B372C9" w:rsidRDefault="00B372C9" w:rsidP="00E7125F">
      <w:pPr>
        <w:rPr>
          <w:rFonts w:ascii="Wingdings" w:hAnsi="Wingdings" w:cs="Arial"/>
          <w:b/>
          <w:bCs/>
          <w:color w:val="ED7D31" w:themeColor="accent2"/>
        </w:rPr>
      </w:pPr>
    </w:p>
    <w:p w14:paraId="4016FF0A" w14:textId="42B35FB1" w:rsidR="00263BE9" w:rsidRDefault="00E7125F" w:rsidP="00E7125F">
      <w:pPr>
        <w:rPr>
          <w:rFonts w:ascii="Arial" w:hAnsi="Arial" w:cs="Arial"/>
          <w:b/>
          <w:sz w:val="28"/>
          <w:szCs w:val="28"/>
        </w:rPr>
      </w:pPr>
      <w:r w:rsidRPr="008A4DDE">
        <w:rPr>
          <w:rFonts w:ascii="Wingdings" w:hAnsi="Wingdings" w:cs="Arial"/>
          <w:b/>
          <w:bCs/>
          <w:color w:val="ED7D31" w:themeColor="accent2"/>
        </w:rPr>
        <w:lastRenderedPageBreak/>
        <w:sym w:font="Wingdings" w:char="F06C"/>
      </w:r>
      <w:r w:rsidRPr="008A4DDE">
        <w:rPr>
          <w:rFonts w:ascii="Wingdings" w:hAnsi="Wingdings" w:cs="Arial"/>
          <w:b/>
          <w:bCs/>
          <w:color w:val="ED7D31" w:themeColor="accent2"/>
        </w:rPr>
        <w:t xml:space="preserve"> </w:t>
      </w:r>
      <w:r w:rsidRPr="00F57859">
        <w:rPr>
          <w:rFonts w:ascii="Arial" w:hAnsi="Arial" w:cs="Arial"/>
          <w:b/>
          <w:color w:val="ED7D31" w:themeColor="accent2"/>
          <w:sz w:val="28"/>
          <w:szCs w:val="28"/>
          <w:u w:val="single"/>
        </w:rPr>
        <w:t>KEY ACTION 6</w:t>
      </w:r>
      <w:r w:rsidRPr="008A4DDE">
        <w:rPr>
          <w:rFonts w:ascii="Arial" w:hAnsi="Arial" w:cs="Arial"/>
          <w:b/>
          <w:color w:val="ED7D31" w:themeColor="accent2"/>
          <w:sz w:val="28"/>
          <w:szCs w:val="28"/>
        </w:rPr>
        <w:t xml:space="preserve">: </w:t>
      </w:r>
      <w:r w:rsidRPr="008A4DDE">
        <w:rPr>
          <w:rFonts w:ascii="Arial" w:hAnsi="Arial" w:cs="Arial"/>
          <w:b/>
          <w:sz w:val="28"/>
          <w:szCs w:val="28"/>
        </w:rPr>
        <w:t>Address racism</w:t>
      </w:r>
      <w:r>
        <w:rPr>
          <w:rFonts w:ascii="Arial" w:hAnsi="Arial" w:cs="Arial"/>
          <w:b/>
          <w:sz w:val="28"/>
          <w:szCs w:val="28"/>
        </w:rPr>
        <w:t>, discrimination, and</w:t>
      </w:r>
      <w:r w:rsidRPr="008A4DDE">
        <w:rPr>
          <w:rFonts w:ascii="Arial" w:hAnsi="Arial" w:cs="Arial"/>
          <w:b/>
          <w:sz w:val="28"/>
          <w:szCs w:val="28"/>
        </w:rPr>
        <w:t xml:space="preserve"> promote inclusion.</w:t>
      </w:r>
    </w:p>
    <w:p w14:paraId="31645418" w14:textId="70D1EA50" w:rsidR="00E7125F" w:rsidRPr="00263BE9" w:rsidRDefault="00E7125F" w:rsidP="00E7125F">
      <w:pPr>
        <w:rPr>
          <w:rFonts w:ascii="Arial" w:hAnsi="Arial" w:cs="Arial"/>
          <w:b/>
          <w:sz w:val="28"/>
          <w:szCs w:val="28"/>
        </w:rPr>
      </w:pPr>
      <w:r w:rsidRPr="008A4DDE">
        <w:rPr>
          <w:rFonts w:cstheme="minorHAnsi"/>
          <w:bCs/>
          <w:sz w:val="24"/>
          <w:szCs w:val="24"/>
        </w:rPr>
        <w:t xml:space="preserve">Queensland Government agencies will ensure equitable and respectful opportunities and experiences for staff and customers from culturally and linguistically diverse backgrounds, through targeted initiatives to </w:t>
      </w:r>
      <w:r w:rsidRPr="008A4DDE">
        <w:rPr>
          <w:rFonts w:cstheme="minorHAnsi"/>
          <w:b/>
          <w:sz w:val="24"/>
          <w:szCs w:val="24"/>
        </w:rPr>
        <w:t>address unconscious bias and racism and promote inclusion</w:t>
      </w:r>
      <w:r w:rsidRPr="008A4DDE">
        <w:rPr>
          <w:rFonts w:cstheme="minorHAnsi"/>
          <w:bCs/>
          <w:sz w:val="24"/>
          <w:szCs w:val="24"/>
        </w:rPr>
        <w:t xml:space="preserve">. As per the Queensland Multicultural Policy, activities in this section should </w:t>
      </w:r>
      <w:r>
        <w:rPr>
          <w:rFonts w:cstheme="minorHAnsi"/>
          <w:bCs/>
          <w:sz w:val="24"/>
          <w:szCs w:val="24"/>
        </w:rPr>
        <w:t>link</w:t>
      </w:r>
      <w:r w:rsidRPr="008A4DDE">
        <w:rPr>
          <w:rFonts w:cstheme="minorHAnsi"/>
          <w:bCs/>
          <w:sz w:val="24"/>
          <w:szCs w:val="24"/>
        </w:rPr>
        <w:t xml:space="preserve"> to one or more of the following high-level outcomes:</w:t>
      </w:r>
    </w:p>
    <w:p w14:paraId="70FAFAC0" w14:textId="77777777" w:rsidR="00E7125F" w:rsidRPr="008A4DDE" w:rsidRDefault="00E7125F" w:rsidP="00E7125F">
      <w:pPr>
        <w:pStyle w:val="ListParagraph"/>
        <w:numPr>
          <w:ilvl w:val="0"/>
          <w:numId w:val="14"/>
        </w:numPr>
        <w:spacing w:after="0"/>
        <w:rPr>
          <w:rFonts w:cstheme="minorHAnsi"/>
          <w:bCs/>
          <w:i/>
          <w:iCs/>
          <w:sz w:val="24"/>
          <w:szCs w:val="24"/>
        </w:rPr>
      </w:pPr>
      <w:r w:rsidRPr="008A4DDE">
        <w:rPr>
          <w:rFonts w:cstheme="minorHAnsi"/>
          <w:bCs/>
          <w:i/>
          <w:iCs/>
          <w:sz w:val="24"/>
          <w:szCs w:val="24"/>
        </w:rPr>
        <w:t>Improved knowledge about customers’ diversity.</w:t>
      </w:r>
    </w:p>
    <w:p w14:paraId="67729660" w14:textId="77777777" w:rsidR="00E7125F" w:rsidRPr="008A4DDE" w:rsidRDefault="00E7125F" w:rsidP="00E7125F">
      <w:pPr>
        <w:pStyle w:val="ListParagraph"/>
        <w:numPr>
          <w:ilvl w:val="0"/>
          <w:numId w:val="14"/>
        </w:numPr>
        <w:spacing w:after="0"/>
        <w:rPr>
          <w:rFonts w:cstheme="minorHAnsi"/>
          <w:bCs/>
          <w:i/>
          <w:iCs/>
          <w:sz w:val="24"/>
          <w:szCs w:val="24"/>
        </w:rPr>
      </w:pPr>
      <w:r w:rsidRPr="008A4DDE">
        <w:rPr>
          <w:rFonts w:cstheme="minorHAnsi"/>
          <w:bCs/>
          <w:i/>
          <w:iCs/>
          <w:sz w:val="24"/>
          <w:szCs w:val="24"/>
        </w:rPr>
        <w:t>Culturally capable services and programs.</w:t>
      </w:r>
    </w:p>
    <w:p w14:paraId="31FFE02E" w14:textId="77777777" w:rsidR="00E7125F" w:rsidRPr="008A4DDE" w:rsidRDefault="00E7125F" w:rsidP="00E7125F">
      <w:pPr>
        <w:pStyle w:val="ListParagraph"/>
        <w:numPr>
          <w:ilvl w:val="0"/>
          <w:numId w:val="14"/>
        </w:numPr>
        <w:spacing w:after="0"/>
        <w:rPr>
          <w:rFonts w:cstheme="minorHAnsi"/>
          <w:bCs/>
          <w:i/>
          <w:iCs/>
          <w:sz w:val="24"/>
          <w:szCs w:val="24"/>
        </w:rPr>
      </w:pPr>
      <w:r w:rsidRPr="008A4DDE">
        <w:rPr>
          <w:rFonts w:cstheme="minorHAnsi"/>
          <w:bCs/>
          <w:i/>
          <w:iCs/>
          <w:sz w:val="24"/>
          <w:szCs w:val="24"/>
        </w:rPr>
        <w:t>A productive, culturally capable, and diverse workforce.</w:t>
      </w:r>
    </w:p>
    <w:p w14:paraId="40480F7D" w14:textId="77777777" w:rsidR="00E7125F" w:rsidRPr="008A4DDE" w:rsidRDefault="00E7125F" w:rsidP="00E7125F">
      <w:pPr>
        <w:pStyle w:val="ListParagraph"/>
        <w:numPr>
          <w:ilvl w:val="0"/>
          <w:numId w:val="14"/>
        </w:numPr>
        <w:spacing w:after="0"/>
        <w:rPr>
          <w:rFonts w:cstheme="minorHAnsi"/>
          <w:bCs/>
          <w:i/>
          <w:iCs/>
          <w:sz w:val="24"/>
          <w:szCs w:val="24"/>
        </w:rPr>
      </w:pPr>
      <w:r w:rsidRPr="008A4DDE">
        <w:rPr>
          <w:rFonts w:cstheme="minorHAnsi"/>
          <w:bCs/>
          <w:i/>
          <w:iCs/>
          <w:sz w:val="24"/>
          <w:szCs w:val="24"/>
        </w:rPr>
        <w:t>Recognition and respect for Aboriginal and Torres Strait Islander heritage and culture.</w:t>
      </w:r>
    </w:p>
    <w:p w14:paraId="278712E4" w14:textId="77777777" w:rsidR="00E7125F" w:rsidRPr="008A4DDE" w:rsidRDefault="00E7125F" w:rsidP="00E7125F">
      <w:pPr>
        <w:pStyle w:val="ListParagraph"/>
        <w:numPr>
          <w:ilvl w:val="0"/>
          <w:numId w:val="14"/>
        </w:numPr>
        <w:spacing w:after="0"/>
        <w:rPr>
          <w:rFonts w:cstheme="minorHAnsi"/>
          <w:bCs/>
          <w:i/>
          <w:iCs/>
          <w:sz w:val="24"/>
          <w:szCs w:val="24"/>
        </w:rPr>
      </w:pPr>
      <w:r w:rsidRPr="008A4DDE">
        <w:rPr>
          <w:rFonts w:cstheme="minorHAnsi"/>
          <w:bCs/>
          <w:i/>
          <w:iCs/>
          <w:sz w:val="24"/>
          <w:szCs w:val="24"/>
        </w:rPr>
        <w:t>Queenslanders celebrate our multicultural identity.</w:t>
      </w:r>
    </w:p>
    <w:p w14:paraId="03EC7E90" w14:textId="77777777" w:rsidR="00E7125F" w:rsidRPr="008A4DDE" w:rsidRDefault="00E7125F" w:rsidP="00E7125F">
      <w:pPr>
        <w:pStyle w:val="ListParagraph"/>
        <w:numPr>
          <w:ilvl w:val="0"/>
          <w:numId w:val="14"/>
        </w:numPr>
        <w:spacing w:after="0"/>
        <w:rPr>
          <w:rFonts w:cstheme="minorHAnsi"/>
          <w:bCs/>
          <w:i/>
          <w:iCs/>
          <w:sz w:val="24"/>
          <w:szCs w:val="24"/>
        </w:rPr>
      </w:pPr>
      <w:r w:rsidRPr="008A4DDE">
        <w:rPr>
          <w:rFonts w:cstheme="minorHAnsi"/>
          <w:bCs/>
          <w:i/>
          <w:iCs/>
          <w:sz w:val="24"/>
          <w:szCs w:val="24"/>
        </w:rPr>
        <w:t>Connected and resilient communities.</w:t>
      </w:r>
    </w:p>
    <w:p w14:paraId="1F3FA69C" w14:textId="4205F0EE" w:rsidR="00263BE9" w:rsidRDefault="00E7125F" w:rsidP="003D76C4">
      <w:pPr>
        <w:pStyle w:val="ListParagraph"/>
        <w:numPr>
          <w:ilvl w:val="0"/>
          <w:numId w:val="14"/>
        </w:numPr>
        <w:spacing w:after="0"/>
        <w:rPr>
          <w:rFonts w:cstheme="minorHAnsi"/>
          <w:bCs/>
          <w:i/>
          <w:iCs/>
          <w:sz w:val="24"/>
          <w:szCs w:val="24"/>
        </w:rPr>
      </w:pPr>
      <w:r w:rsidRPr="008A4DDE">
        <w:rPr>
          <w:rFonts w:cstheme="minorHAnsi"/>
          <w:bCs/>
          <w:i/>
          <w:iCs/>
          <w:sz w:val="24"/>
          <w:szCs w:val="24"/>
        </w:rPr>
        <w:t>A respectful and inclusive narrative about diversity.</w:t>
      </w:r>
    </w:p>
    <w:p w14:paraId="0831EFC4" w14:textId="77777777" w:rsidR="00F13858" w:rsidRPr="003D76C4" w:rsidRDefault="00F13858" w:rsidP="00F13858">
      <w:pPr>
        <w:pStyle w:val="ListParagraph"/>
        <w:spacing w:after="0"/>
        <w:rPr>
          <w:rFonts w:cstheme="minorHAnsi"/>
          <w:bCs/>
          <w:i/>
          <w:iCs/>
          <w:sz w:val="24"/>
          <w:szCs w:val="24"/>
        </w:rPr>
      </w:pPr>
    </w:p>
    <w:tbl>
      <w:tblPr>
        <w:tblStyle w:val="TableGrid"/>
        <w:tblW w:w="4929"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409"/>
        <w:gridCol w:w="1559"/>
        <w:gridCol w:w="9782"/>
      </w:tblGrid>
      <w:tr w:rsidR="00AA6C62" w:rsidRPr="0054491B" w14:paraId="569EC76F" w14:textId="77777777" w:rsidTr="006D19EE">
        <w:trPr>
          <w:trHeight w:val="992"/>
          <w:tblHeader/>
        </w:trPr>
        <w:tc>
          <w:tcPr>
            <w:tcW w:w="876" w:type="pct"/>
            <w:shd w:val="clear" w:color="auto" w:fill="D9D9D9" w:themeFill="background1" w:themeFillShade="D9"/>
          </w:tcPr>
          <w:p w14:paraId="171C0F33" w14:textId="77777777" w:rsidR="006D19EE" w:rsidRDefault="006D19EE" w:rsidP="00306116">
            <w:pPr>
              <w:autoSpaceDE w:val="0"/>
              <w:autoSpaceDN w:val="0"/>
              <w:adjustRightInd w:val="0"/>
              <w:rPr>
                <w:rFonts w:ascii="Arial" w:hAnsi="Arial" w:cs="Arial"/>
                <w:b/>
                <w:sz w:val="20"/>
                <w:szCs w:val="20"/>
              </w:rPr>
            </w:pPr>
            <w:r w:rsidRPr="00D82138">
              <w:rPr>
                <w:rFonts w:ascii="Arial" w:hAnsi="Arial" w:cs="Arial"/>
                <w:b/>
                <w:sz w:val="20"/>
                <w:szCs w:val="20"/>
              </w:rPr>
              <w:t xml:space="preserve">Agency activities supporting </w:t>
            </w:r>
          </w:p>
          <w:p w14:paraId="253278FA" w14:textId="77777777" w:rsidR="00306116" w:rsidRDefault="00306116" w:rsidP="00306116">
            <w:pPr>
              <w:autoSpaceDE w:val="0"/>
              <w:autoSpaceDN w:val="0"/>
              <w:adjustRightInd w:val="0"/>
              <w:rPr>
                <w:rFonts w:ascii="Arial" w:hAnsi="Arial" w:cs="Arial"/>
                <w:b/>
                <w:sz w:val="20"/>
                <w:szCs w:val="20"/>
              </w:rPr>
            </w:pPr>
          </w:p>
          <w:p w14:paraId="3B56E1A5" w14:textId="67613430" w:rsidR="006D19EE" w:rsidRPr="00D82138" w:rsidRDefault="006D19EE" w:rsidP="00306116">
            <w:pPr>
              <w:autoSpaceDE w:val="0"/>
              <w:autoSpaceDN w:val="0"/>
              <w:adjustRightInd w:val="0"/>
              <w:rPr>
                <w:rFonts w:ascii="Arial" w:hAnsi="Arial" w:cs="Arial"/>
                <w:b/>
                <w:sz w:val="20"/>
                <w:szCs w:val="20"/>
              </w:rPr>
            </w:pPr>
            <w:r w:rsidRPr="00D82138">
              <w:rPr>
                <w:rFonts w:ascii="Arial" w:hAnsi="Arial" w:cs="Arial"/>
                <w:b/>
                <w:color w:val="ED7D31" w:themeColor="accent2"/>
                <w:sz w:val="20"/>
                <w:szCs w:val="20"/>
              </w:rPr>
              <w:t>Key Action 6</w:t>
            </w:r>
          </w:p>
        </w:tc>
        <w:tc>
          <w:tcPr>
            <w:tcW w:w="567" w:type="pct"/>
            <w:tcBorders>
              <w:bottom w:val="single" w:sz="4" w:space="0" w:color="C0504D"/>
            </w:tcBorders>
            <w:shd w:val="clear" w:color="auto" w:fill="D9D9D9" w:themeFill="background1" w:themeFillShade="D9"/>
          </w:tcPr>
          <w:p w14:paraId="0F1B4159" w14:textId="77777777" w:rsidR="006D19EE" w:rsidRPr="00D82138" w:rsidRDefault="006D19EE" w:rsidP="00FF3B88">
            <w:pPr>
              <w:autoSpaceDE w:val="0"/>
              <w:autoSpaceDN w:val="0"/>
              <w:adjustRightInd w:val="0"/>
              <w:spacing w:after="120"/>
              <w:rPr>
                <w:rFonts w:ascii="Arial" w:hAnsi="Arial" w:cs="Arial"/>
                <w:b/>
                <w:sz w:val="20"/>
                <w:szCs w:val="20"/>
              </w:rPr>
            </w:pPr>
            <w:r w:rsidRPr="00D82138">
              <w:rPr>
                <w:rFonts w:ascii="Arial" w:hAnsi="Arial" w:cs="Arial"/>
                <w:b/>
                <w:sz w:val="20"/>
                <w:szCs w:val="20"/>
              </w:rPr>
              <w:t>Progress status for 202</w:t>
            </w:r>
            <w:r>
              <w:rPr>
                <w:rFonts w:ascii="Arial" w:hAnsi="Arial" w:cs="Arial"/>
                <w:b/>
                <w:sz w:val="20"/>
                <w:szCs w:val="20"/>
              </w:rPr>
              <w:t>3</w:t>
            </w:r>
            <w:r w:rsidRPr="00D82138">
              <w:rPr>
                <w:rFonts w:ascii="Arial" w:hAnsi="Arial" w:cs="Arial"/>
                <w:b/>
                <w:sz w:val="20"/>
                <w:szCs w:val="20"/>
              </w:rPr>
              <w:t>-2</w:t>
            </w:r>
            <w:r>
              <w:rPr>
                <w:rFonts w:ascii="Arial" w:hAnsi="Arial" w:cs="Arial"/>
                <w:b/>
                <w:sz w:val="20"/>
                <w:szCs w:val="20"/>
              </w:rPr>
              <w:t>4</w:t>
            </w:r>
          </w:p>
        </w:tc>
        <w:tc>
          <w:tcPr>
            <w:tcW w:w="3557" w:type="pct"/>
            <w:tcBorders>
              <w:bottom w:val="single" w:sz="4" w:space="0" w:color="C0504D"/>
            </w:tcBorders>
            <w:shd w:val="clear" w:color="auto" w:fill="D9D9D9" w:themeFill="background1" w:themeFillShade="D9"/>
          </w:tcPr>
          <w:p w14:paraId="464185BD" w14:textId="77777777" w:rsidR="006D19EE" w:rsidRDefault="006D19EE" w:rsidP="00FF3B88">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5AB46BF7" w14:textId="3DDFFD23" w:rsidR="006D19EE" w:rsidRPr="00D82138" w:rsidRDefault="006D19EE" w:rsidP="00FF3B88">
            <w:pPr>
              <w:autoSpaceDE w:val="0"/>
              <w:autoSpaceDN w:val="0"/>
              <w:adjustRightInd w:val="0"/>
              <w:spacing w:after="120"/>
              <w:rPr>
                <w:rFonts w:ascii="Arial" w:hAnsi="Arial" w:cs="Arial"/>
                <w:b/>
                <w:sz w:val="20"/>
                <w:szCs w:val="20"/>
              </w:rPr>
            </w:pPr>
          </w:p>
        </w:tc>
      </w:tr>
      <w:tr w:rsidR="00AA6C62" w:rsidRPr="00417B8B" w14:paraId="5FF3A59A" w14:textId="77777777" w:rsidTr="006D19EE">
        <w:trPr>
          <w:trHeight w:val="680"/>
        </w:trPr>
        <w:tc>
          <w:tcPr>
            <w:tcW w:w="876" w:type="pct"/>
            <w:shd w:val="clear" w:color="auto" w:fill="auto"/>
          </w:tcPr>
          <w:p w14:paraId="2455CBF6" w14:textId="5EF0361F" w:rsidR="006D19EE" w:rsidRPr="00E7125F" w:rsidRDefault="006D19EE" w:rsidP="00FF3B88">
            <w:pPr>
              <w:autoSpaceDE w:val="0"/>
              <w:autoSpaceDN w:val="0"/>
              <w:adjustRightInd w:val="0"/>
              <w:spacing w:before="120"/>
              <w:rPr>
                <w:rFonts w:ascii="Arial" w:hAnsi="Arial" w:cs="Arial"/>
                <w:sz w:val="18"/>
                <w:szCs w:val="18"/>
              </w:rPr>
            </w:pPr>
            <w:bookmarkStart w:id="10" w:name="_Hlk175235599"/>
            <w:r w:rsidRPr="00263BE9">
              <w:rPr>
                <w:rFonts w:ascii="Arial" w:hAnsi="Arial" w:cs="Arial"/>
                <w:sz w:val="18"/>
                <w:szCs w:val="18"/>
              </w:rPr>
              <w:t>Queensland Corrective Services will commence an organisational culture change program including initiatives and programs aimed at raising awareness and improving outcomes around inclusion and diversity.</w:t>
            </w:r>
            <w:bookmarkEnd w:id="10"/>
          </w:p>
        </w:tc>
        <w:tc>
          <w:tcPr>
            <w:tcW w:w="567" w:type="pct"/>
            <w:shd w:val="clear" w:color="auto" w:fill="auto"/>
          </w:tcPr>
          <w:p w14:paraId="0A7E5FA8" w14:textId="5DB2D96B" w:rsidR="006D19EE" w:rsidRPr="00D82138" w:rsidRDefault="00306116" w:rsidP="00FF3B88">
            <w:pPr>
              <w:autoSpaceDE w:val="0"/>
              <w:autoSpaceDN w:val="0"/>
              <w:adjustRightInd w:val="0"/>
              <w:rPr>
                <w:rFonts w:ascii="Arial" w:hAnsi="Arial" w:cs="Arial"/>
                <w:b/>
                <w:sz w:val="18"/>
                <w:szCs w:val="18"/>
              </w:rPr>
            </w:pPr>
            <w:sdt>
              <w:sdtPr>
                <w:rPr>
                  <w:rFonts w:ascii="Arial" w:eastAsiaTheme="majorEastAsia" w:hAnsi="Arial" w:cs="Arial"/>
                  <w:b/>
                  <w:sz w:val="18"/>
                  <w:szCs w:val="18"/>
                </w:rPr>
                <w:alias w:val="Final Status"/>
                <w:tag w:val="Final Status"/>
                <w:id w:val="-324121370"/>
                <w:placeholder>
                  <w:docPart w:val="9E4F4E6E5FDB40509ADE0EBC1D074081"/>
                </w:placeholder>
                <w:dropDownList>
                  <w:listItem w:displayText="Choose a final status" w:value="Choose a final status"/>
                  <w:listItem w:displayText="Delivered" w:value="Delivered"/>
                  <w:listItem w:displayText="Not delivered" w:value="Not delivered"/>
                </w:dropDownList>
              </w:sdtPr>
              <w:sdtEndPr/>
              <w:sdtContent>
                <w:r w:rsidR="006D19EE" w:rsidRPr="0044605A">
                  <w:rPr>
                    <w:rFonts w:ascii="Arial" w:eastAsiaTheme="majorEastAsia" w:hAnsi="Arial" w:cs="Arial"/>
                    <w:b/>
                    <w:sz w:val="18"/>
                    <w:szCs w:val="18"/>
                  </w:rPr>
                  <w:t>Delivered</w:t>
                </w:r>
              </w:sdtContent>
            </w:sdt>
          </w:p>
        </w:tc>
        <w:tc>
          <w:tcPr>
            <w:tcW w:w="3557" w:type="pct"/>
          </w:tcPr>
          <w:p w14:paraId="7AE496A1" w14:textId="77777777" w:rsidR="006D19EE" w:rsidRPr="00497F78" w:rsidRDefault="006D19EE" w:rsidP="00FF3B88">
            <w:pPr>
              <w:autoSpaceDE w:val="0"/>
              <w:autoSpaceDN w:val="0"/>
              <w:adjustRightInd w:val="0"/>
              <w:rPr>
                <w:rFonts w:ascii="Arial" w:hAnsi="Arial" w:cs="Arial"/>
                <w:bCs/>
                <w:sz w:val="18"/>
                <w:szCs w:val="18"/>
              </w:rPr>
            </w:pPr>
            <w:r w:rsidRPr="00497F78">
              <w:rPr>
                <w:rFonts w:ascii="Arial" w:hAnsi="Arial" w:cs="Arial"/>
                <w:bCs/>
                <w:sz w:val="18"/>
                <w:szCs w:val="18"/>
              </w:rPr>
              <w:t xml:space="preserve">Queensland Corrective Services (QCS) recently co-designed and launched the </w:t>
            </w:r>
            <w:r w:rsidRPr="00497F78">
              <w:rPr>
                <w:rFonts w:ascii="Arial" w:hAnsi="Arial" w:cs="Arial"/>
                <w:bCs/>
                <w:i/>
                <w:iCs/>
                <w:sz w:val="18"/>
                <w:szCs w:val="18"/>
              </w:rPr>
              <w:t>QCS Culture Framework 2024-2028</w:t>
            </w:r>
            <w:r w:rsidRPr="00497F78">
              <w:rPr>
                <w:rFonts w:ascii="Arial" w:hAnsi="Arial" w:cs="Arial"/>
                <w:bCs/>
                <w:sz w:val="18"/>
                <w:szCs w:val="18"/>
              </w:rPr>
              <w:t xml:space="preserve"> (the Framework), a five-year plan which articulates the desired culture for QCS. The Framework consists of five key focus areas:</w:t>
            </w:r>
          </w:p>
          <w:p w14:paraId="3FF0956F" w14:textId="77777777" w:rsidR="006D19EE" w:rsidRPr="00497F78" w:rsidRDefault="006D19EE" w:rsidP="0061720F">
            <w:pPr>
              <w:pStyle w:val="ListParagraph"/>
              <w:numPr>
                <w:ilvl w:val="0"/>
                <w:numId w:val="27"/>
              </w:numPr>
              <w:autoSpaceDE w:val="0"/>
              <w:autoSpaceDN w:val="0"/>
              <w:adjustRightInd w:val="0"/>
              <w:rPr>
                <w:rFonts w:ascii="Arial" w:hAnsi="Arial" w:cs="Arial"/>
                <w:bCs/>
                <w:sz w:val="18"/>
                <w:szCs w:val="18"/>
              </w:rPr>
            </w:pPr>
            <w:r w:rsidRPr="00497F78">
              <w:rPr>
                <w:rFonts w:ascii="Arial" w:hAnsi="Arial" w:cs="Arial"/>
                <w:bCs/>
                <w:sz w:val="18"/>
                <w:szCs w:val="18"/>
              </w:rPr>
              <w:t>Safe and Respectful Workplaces</w:t>
            </w:r>
          </w:p>
          <w:p w14:paraId="1A38E2B4" w14:textId="77777777" w:rsidR="006D19EE" w:rsidRPr="00497F78" w:rsidRDefault="006D19EE" w:rsidP="0061720F">
            <w:pPr>
              <w:pStyle w:val="ListParagraph"/>
              <w:numPr>
                <w:ilvl w:val="0"/>
                <w:numId w:val="27"/>
              </w:numPr>
              <w:autoSpaceDE w:val="0"/>
              <w:autoSpaceDN w:val="0"/>
              <w:adjustRightInd w:val="0"/>
              <w:rPr>
                <w:rFonts w:ascii="Arial" w:hAnsi="Arial" w:cs="Arial"/>
                <w:bCs/>
                <w:sz w:val="18"/>
                <w:szCs w:val="18"/>
              </w:rPr>
            </w:pPr>
            <w:r w:rsidRPr="00497F78">
              <w:rPr>
                <w:rFonts w:ascii="Arial" w:hAnsi="Arial" w:cs="Arial"/>
                <w:bCs/>
                <w:sz w:val="18"/>
                <w:szCs w:val="18"/>
              </w:rPr>
              <w:t>People-Centred Leadership</w:t>
            </w:r>
          </w:p>
          <w:p w14:paraId="0AEB6FE5" w14:textId="77777777" w:rsidR="006D19EE" w:rsidRPr="00497F78" w:rsidRDefault="006D19EE" w:rsidP="0061720F">
            <w:pPr>
              <w:pStyle w:val="ListParagraph"/>
              <w:numPr>
                <w:ilvl w:val="0"/>
                <w:numId w:val="27"/>
              </w:numPr>
              <w:autoSpaceDE w:val="0"/>
              <w:autoSpaceDN w:val="0"/>
              <w:adjustRightInd w:val="0"/>
              <w:rPr>
                <w:rFonts w:ascii="Arial" w:hAnsi="Arial" w:cs="Arial"/>
                <w:bCs/>
                <w:sz w:val="18"/>
                <w:szCs w:val="18"/>
              </w:rPr>
            </w:pPr>
            <w:r w:rsidRPr="00497F78">
              <w:rPr>
                <w:rFonts w:ascii="Arial" w:hAnsi="Arial" w:cs="Arial"/>
                <w:bCs/>
                <w:sz w:val="18"/>
                <w:szCs w:val="18"/>
              </w:rPr>
              <w:t>Diverse and Inclusive Workplaces</w:t>
            </w:r>
          </w:p>
          <w:p w14:paraId="61800F7B" w14:textId="056A4D83" w:rsidR="006D19EE" w:rsidRPr="00497F78" w:rsidRDefault="006D19EE" w:rsidP="0061720F">
            <w:pPr>
              <w:pStyle w:val="ListParagraph"/>
              <w:numPr>
                <w:ilvl w:val="0"/>
                <w:numId w:val="27"/>
              </w:numPr>
              <w:autoSpaceDE w:val="0"/>
              <w:autoSpaceDN w:val="0"/>
              <w:adjustRightInd w:val="0"/>
              <w:rPr>
                <w:rFonts w:ascii="Arial" w:hAnsi="Arial" w:cs="Arial"/>
                <w:bCs/>
                <w:sz w:val="18"/>
                <w:szCs w:val="18"/>
              </w:rPr>
            </w:pPr>
            <w:r w:rsidRPr="00497F78">
              <w:rPr>
                <w:rFonts w:ascii="Arial" w:hAnsi="Arial" w:cs="Arial"/>
                <w:bCs/>
                <w:sz w:val="18"/>
                <w:szCs w:val="18"/>
              </w:rPr>
              <w:t xml:space="preserve">One QCS untied by our People and Purpose </w:t>
            </w:r>
          </w:p>
          <w:p w14:paraId="55694E2E" w14:textId="77777777" w:rsidR="006D19EE" w:rsidRPr="00497F78" w:rsidRDefault="006D19EE" w:rsidP="0061720F">
            <w:pPr>
              <w:pStyle w:val="ListParagraph"/>
              <w:numPr>
                <w:ilvl w:val="0"/>
                <w:numId w:val="27"/>
              </w:numPr>
              <w:autoSpaceDE w:val="0"/>
              <w:autoSpaceDN w:val="0"/>
              <w:adjustRightInd w:val="0"/>
              <w:rPr>
                <w:rFonts w:ascii="Arial" w:hAnsi="Arial" w:cs="Arial"/>
                <w:bCs/>
                <w:sz w:val="18"/>
                <w:szCs w:val="18"/>
              </w:rPr>
            </w:pPr>
            <w:r w:rsidRPr="00497F78">
              <w:rPr>
                <w:rFonts w:ascii="Arial" w:hAnsi="Arial" w:cs="Arial"/>
                <w:bCs/>
                <w:sz w:val="18"/>
                <w:szCs w:val="18"/>
              </w:rPr>
              <w:t>Governing with Ethics and Integrity.</w:t>
            </w:r>
          </w:p>
          <w:p w14:paraId="7B5EBC60" w14:textId="77777777" w:rsidR="006D19EE" w:rsidRPr="00497F78" w:rsidRDefault="006D19EE" w:rsidP="0061720F">
            <w:pPr>
              <w:autoSpaceDE w:val="0"/>
              <w:autoSpaceDN w:val="0"/>
              <w:adjustRightInd w:val="0"/>
              <w:rPr>
                <w:rFonts w:ascii="Arial" w:hAnsi="Arial" w:cs="Arial"/>
                <w:bCs/>
                <w:sz w:val="18"/>
                <w:szCs w:val="18"/>
              </w:rPr>
            </w:pPr>
          </w:p>
          <w:p w14:paraId="0224FC67" w14:textId="0A30F259" w:rsidR="006D19EE" w:rsidRPr="00B13A8B" w:rsidRDefault="006D19EE" w:rsidP="0061720F">
            <w:pPr>
              <w:autoSpaceDE w:val="0"/>
              <w:autoSpaceDN w:val="0"/>
              <w:adjustRightInd w:val="0"/>
              <w:rPr>
                <w:rFonts w:ascii="Arial" w:hAnsi="Arial" w:cs="Arial"/>
                <w:bCs/>
                <w:color w:val="4472C4" w:themeColor="accent1"/>
                <w:sz w:val="18"/>
                <w:szCs w:val="18"/>
              </w:rPr>
            </w:pPr>
            <w:r w:rsidRPr="00497F78">
              <w:rPr>
                <w:rFonts w:ascii="Arial" w:hAnsi="Arial" w:cs="Arial"/>
                <w:bCs/>
                <w:sz w:val="18"/>
                <w:szCs w:val="18"/>
              </w:rPr>
              <w:t xml:space="preserve">The tool which will drive delivery implementation of this framework is the initial two-year </w:t>
            </w:r>
            <w:r w:rsidRPr="00497F78">
              <w:rPr>
                <w:rFonts w:ascii="Arial" w:hAnsi="Arial" w:cs="Arial"/>
                <w:bCs/>
                <w:i/>
                <w:iCs/>
                <w:sz w:val="18"/>
                <w:szCs w:val="18"/>
              </w:rPr>
              <w:t>QCS Culture Action Plan 2024-2026</w:t>
            </w:r>
            <w:r w:rsidRPr="00497F78">
              <w:rPr>
                <w:rFonts w:ascii="Arial" w:hAnsi="Arial" w:cs="Arial"/>
                <w:bCs/>
                <w:sz w:val="18"/>
                <w:szCs w:val="18"/>
              </w:rPr>
              <w:t xml:space="preserve"> (Horizon 1 of 2).</w:t>
            </w:r>
          </w:p>
        </w:tc>
      </w:tr>
    </w:tbl>
    <w:p w14:paraId="7009BC8D" w14:textId="77777777" w:rsidR="00E7125F" w:rsidRPr="00005CD8" w:rsidRDefault="00E7125F" w:rsidP="00E7125F">
      <w:pPr>
        <w:spacing w:after="0"/>
        <w:rPr>
          <w:rFonts w:cstheme="minorHAnsi"/>
          <w:bCs/>
          <w:i/>
          <w:iCs/>
          <w:color w:val="2F5496" w:themeColor="accent1" w:themeShade="BF"/>
          <w:sz w:val="24"/>
          <w:szCs w:val="24"/>
        </w:rPr>
      </w:pPr>
    </w:p>
    <w:p w14:paraId="720D03CF" w14:textId="77777777" w:rsidR="00E7125F" w:rsidRPr="00A53C4E" w:rsidRDefault="00E7125F" w:rsidP="00800975">
      <w:pPr>
        <w:tabs>
          <w:tab w:val="left" w:pos="1698"/>
        </w:tabs>
        <w:rPr>
          <w:rFonts w:ascii="Arial" w:hAnsi="Arial" w:cs="Arial"/>
        </w:rPr>
      </w:pPr>
    </w:p>
    <w:sectPr w:rsidR="00E7125F" w:rsidRPr="00A53C4E" w:rsidSect="00497F78">
      <w:pgSz w:w="16838" w:h="11906"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AA887" w14:textId="77777777" w:rsidR="00F1129B" w:rsidRDefault="00F1129B" w:rsidP="00D3192F">
      <w:pPr>
        <w:spacing w:after="0" w:line="240" w:lineRule="auto"/>
      </w:pPr>
      <w:r>
        <w:separator/>
      </w:r>
    </w:p>
  </w:endnote>
  <w:endnote w:type="continuationSeparator" w:id="0">
    <w:p w14:paraId="0B6D5E92" w14:textId="77777777" w:rsidR="00F1129B" w:rsidRDefault="00F1129B" w:rsidP="00D3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Microsoft Sans Serif"/>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903328"/>
      <w:docPartObj>
        <w:docPartGallery w:val="Page Numbers (Bottom of Page)"/>
        <w:docPartUnique/>
      </w:docPartObj>
    </w:sdtPr>
    <w:sdtEndPr>
      <w:rPr>
        <w:noProof/>
      </w:rPr>
    </w:sdtEndPr>
    <w:sdtContent>
      <w:p w14:paraId="3FF7C2DB" w14:textId="092BFB84" w:rsidR="00E62BD6" w:rsidRDefault="00E62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A5BE4" w14:textId="77777777" w:rsidR="00E62BD6" w:rsidRDefault="00E6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3AF24" w14:textId="77777777" w:rsidR="00F1129B" w:rsidRDefault="00F1129B" w:rsidP="00D3192F">
      <w:pPr>
        <w:spacing w:after="0" w:line="240" w:lineRule="auto"/>
      </w:pPr>
      <w:r>
        <w:separator/>
      </w:r>
    </w:p>
  </w:footnote>
  <w:footnote w:type="continuationSeparator" w:id="0">
    <w:p w14:paraId="6D903A7E" w14:textId="77777777" w:rsidR="00F1129B" w:rsidRDefault="00F1129B" w:rsidP="00D3192F">
      <w:pPr>
        <w:spacing w:after="0" w:line="240" w:lineRule="auto"/>
      </w:pPr>
      <w:r>
        <w:continuationSeparator/>
      </w:r>
    </w:p>
  </w:footnote>
  <w:footnote w:id="1">
    <w:p w14:paraId="01493375" w14:textId="77777777" w:rsidR="00DD7078" w:rsidRPr="00E4415B" w:rsidRDefault="00DD7078" w:rsidP="00DD7078">
      <w:pPr>
        <w:pStyle w:val="FootnoteText"/>
        <w:rPr>
          <w:i/>
          <w:iCs/>
        </w:rPr>
      </w:pPr>
      <w:r w:rsidRPr="00C00CA9">
        <w:rPr>
          <w:rStyle w:val="FootnoteReference"/>
        </w:rPr>
        <w:footnoteRef/>
      </w:r>
      <w:r w:rsidRPr="00C00CA9">
        <w:t xml:space="preserve"> Following MOG changes in December 2023, Action Plan commitments have been reviewed and allocated across departments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5DBD" w14:textId="77777777" w:rsidR="008D70D2" w:rsidRPr="00E62BD6" w:rsidRDefault="008D70D2" w:rsidP="008D70D2">
    <w:pPr>
      <w:pStyle w:val="Header"/>
      <w:jc w:val="right"/>
      <w:rPr>
        <w:b/>
        <w:bCs/>
        <w:sz w:val="20"/>
        <w:szCs w:val="20"/>
      </w:rPr>
    </w:pPr>
    <w:r w:rsidRPr="00E62BD6">
      <w:rPr>
        <w:b/>
        <w:bCs/>
        <w:sz w:val="20"/>
        <w:szCs w:val="20"/>
      </w:rPr>
      <w:t>Queensland Multicultural Action Plan 2022-24</w:t>
    </w:r>
  </w:p>
  <w:p w14:paraId="4D66E085" w14:textId="77777777" w:rsidR="008D70D2" w:rsidRDefault="008D70D2" w:rsidP="008D70D2">
    <w:pPr>
      <w:pStyle w:val="Header"/>
      <w:jc w:val="right"/>
      <w:rPr>
        <w:sz w:val="20"/>
        <w:szCs w:val="20"/>
      </w:rPr>
    </w:pPr>
    <w:r w:rsidRPr="00E62BD6">
      <w:rPr>
        <w:sz w:val="20"/>
        <w:szCs w:val="20"/>
      </w:rPr>
      <w:t>Annual Reporting for 202</w:t>
    </w:r>
    <w:r>
      <w:rPr>
        <w:sz w:val="20"/>
        <w:szCs w:val="20"/>
      </w:rPr>
      <w:t>3</w:t>
    </w:r>
    <w:r w:rsidRPr="00E62BD6">
      <w:rPr>
        <w:sz w:val="20"/>
        <w:szCs w:val="20"/>
      </w:rPr>
      <w:t>-2</w:t>
    </w:r>
    <w:r>
      <w:rPr>
        <w:sz w:val="20"/>
        <w:szCs w:val="20"/>
      </w:rPr>
      <w:t>4</w:t>
    </w:r>
  </w:p>
  <w:p w14:paraId="7EC02561" w14:textId="77777777" w:rsidR="008D70D2" w:rsidRDefault="008D70D2" w:rsidP="008D70D2">
    <w:pPr>
      <w:pStyle w:val="Header"/>
      <w:jc w:val="right"/>
    </w:pPr>
    <w:r w:rsidRPr="00A97BED">
      <w:rPr>
        <w:i/>
        <w:iCs/>
        <w:color w:val="4472C4" w:themeColor="accent1"/>
        <w:sz w:val="20"/>
        <w:szCs w:val="20"/>
      </w:rPr>
      <w:t>Queensland Corrective Services</w:t>
    </w:r>
  </w:p>
  <w:p w14:paraId="08026D90" w14:textId="348E9E7A" w:rsidR="00D3192F" w:rsidRDefault="00D3192F" w:rsidP="00A97B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1FED4" w14:textId="77777777" w:rsidR="00541CD9" w:rsidRPr="00497F78" w:rsidRDefault="00541CD9" w:rsidP="00541CD9">
    <w:pPr>
      <w:pStyle w:val="Header"/>
      <w:jc w:val="center"/>
      <w:rPr>
        <w:rFonts w:ascii="Arial" w:hAnsi="Arial" w:cs="Arial"/>
        <w:b/>
        <w:sz w:val="24"/>
        <w:szCs w:val="24"/>
      </w:rPr>
    </w:pPr>
    <w:r w:rsidRPr="00497F78">
      <w:rPr>
        <w:rFonts w:ascii="Arial" w:hAnsi="Arial" w:cs="Arial"/>
        <w:b/>
        <w:sz w:val="24"/>
        <w:szCs w:val="24"/>
      </w:rPr>
      <w:t>Queensland Multicultural Policy ‘Our story, our future’</w:t>
    </w:r>
  </w:p>
  <w:p w14:paraId="7BF9F749" w14:textId="3824E97E" w:rsidR="00541CD9" w:rsidRPr="00497F78" w:rsidRDefault="00541CD9" w:rsidP="00541CD9">
    <w:pPr>
      <w:pStyle w:val="Header"/>
      <w:jc w:val="center"/>
      <w:rPr>
        <w:rFonts w:ascii="Arial" w:hAnsi="Arial" w:cs="Arial"/>
        <w:b/>
        <w:sz w:val="24"/>
        <w:szCs w:val="24"/>
      </w:rPr>
    </w:pPr>
    <w:r w:rsidRPr="00497F78">
      <w:rPr>
        <w:rFonts w:ascii="Arial" w:hAnsi="Arial" w:cs="Arial"/>
        <w:b/>
        <w:sz w:val="24"/>
        <w:szCs w:val="24"/>
      </w:rPr>
      <w:t>Queensland Multicultural Action Plan 202</w:t>
    </w:r>
    <w:r w:rsidR="00D02D2A" w:rsidRPr="00497F78">
      <w:rPr>
        <w:rFonts w:ascii="Arial" w:hAnsi="Arial" w:cs="Arial"/>
        <w:b/>
        <w:sz w:val="24"/>
        <w:szCs w:val="24"/>
      </w:rPr>
      <w:t>2</w:t>
    </w:r>
    <w:r w:rsidRPr="00497F78">
      <w:rPr>
        <w:rFonts w:ascii="Arial" w:hAnsi="Arial" w:cs="Arial"/>
        <w:b/>
        <w:sz w:val="24"/>
        <w:szCs w:val="24"/>
      </w:rPr>
      <w:t>-2</w:t>
    </w:r>
    <w:r w:rsidR="00D02D2A" w:rsidRPr="00497F78">
      <w:rPr>
        <w:rFonts w:ascii="Arial" w:hAnsi="Arial" w:cs="Arial"/>
        <w:b/>
        <w:sz w:val="24"/>
        <w:szCs w:val="24"/>
      </w:rPr>
      <w:t>4</w:t>
    </w:r>
  </w:p>
  <w:p w14:paraId="3F90976B" w14:textId="77777777" w:rsidR="00541CD9" w:rsidRPr="00497F78" w:rsidRDefault="00541CD9" w:rsidP="00541CD9">
    <w:pPr>
      <w:pStyle w:val="Header"/>
      <w:jc w:val="center"/>
      <w:rPr>
        <w:rFonts w:ascii="Arial" w:hAnsi="Arial" w:cs="Arial"/>
        <w:b/>
        <w:sz w:val="16"/>
        <w:szCs w:val="16"/>
      </w:rPr>
    </w:pPr>
  </w:p>
  <w:p w14:paraId="2A77412A" w14:textId="5256FDE4" w:rsidR="00541CD9" w:rsidRPr="00497F78" w:rsidRDefault="00541CD9" w:rsidP="00541CD9">
    <w:pPr>
      <w:pStyle w:val="Header"/>
      <w:jc w:val="center"/>
      <w:rPr>
        <w:rFonts w:ascii="Arial" w:hAnsi="Arial" w:cs="Arial"/>
        <w:b/>
        <w:sz w:val="24"/>
        <w:szCs w:val="24"/>
      </w:rPr>
    </w:pPr>
    <w:r w:rsidRPr="00497F78">
      <w:rPr>
        <w:rFonts w:ascii="Arial" w:hAnsi="Arial" w:cs="Arial"/>
        <w:b/>
        <w:sz w:val="24"/>
        <w:szCs w:val="24"/>
      </w:rPr>
      <w:t>Annual Reporting for 202</w:t>
    </w:r>
    <w:r w:rsidR="004D02A8" w:rsidRPr="00497F78">
      <w:rPr>
        <w:rFonts w:ascii="Arial" w:hAnsi="Arial" w:cs="Arial"/>
        <w:b/>
        <w:sz w:val="24"/>
        <w:szCs w:val="24"/>
      </w:rPr>
      <w:t>3</w:t>
    </w:r>
    <w:r w:rsidRPr="00497F78">
      <w:rPr>
        <w:rFonts w:ascii="Arial" w:hAnsi="Arial" w:cs="Arial"/>
        <w:b/>
        <w:sz w:val="24"/>
        <w:szCs w:val="24"/>
      </w:rPr>
      <w:t>-2</w:t>
    </w:r>
    <w:r w:rsidR="004D02A8" w:rsidRPr="00497F78">
      <w:rPr>
        <w:rFonts w:ascii="Arial" w:hAnsi="Arial" w:cs="Arial"/>
        <w:b/>
        <w:sz w:val="24"/>
        <w:szCs w:val="24"/>
      </w:rPr>
      <w:t>4</w:t>
    </w:r>
  </w:p>
  <w:p w14:paraId="66AC7488" w14:textId="12C54BB7" w:rsidR="00541CD9" w:rsidRPr="00497F78" w:rsidRDefault="00A97BED" w:rsidP="00A97BED">
    <w:pPr>
      <w:pStyle w:val="Header"/>
      <w:jc w:val="center"/>
      <w:rPr>
        <w:i/>
        <w:iCs/>
        <w:color w:val="4472C4" w:themeColor="accent1"/>
        <w:sz w:val="20"/>
        <w:szCs w:val="20"/>
      </w:rPr>
    </w:pPr>
    <w:r w:rsidRPr="00497F78">
      <w:rPr>
        <w:rFonts w:ascii="Arial" w:hAnsi="Arial" w:cs="Arial"/>
        <w:b/>
        <w:i/>
        <w:iCs/>
        <w:color w:val="4472C4" w:themeColor="accent1"/>
        <w:sz w:val="24"/>
        <w:szCs w:val="24"/>
      </w:rPr>
      <w:t>Queensland Corrective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6D8"/>
    <w:multiLevelType w:val="hybridMultilevel"/>
    <w:tmpl w:val="009CA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F78D3"/>
    <w:multiLevelType w:val="hybridMultilevel"/>
    <w:tmpl w:val="F4447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9369B"/>
    <w:multiLevelType w:val="hybridMultilevel"/>
    <w:tmpl w:val="3CC2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05B99"/>
    <w:multiLevelType w:val="hybridMultilevel"/>
    <w:tmpl w:val="9406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6AD5C17"/>
    <w:multiLevelType w:val="hybridMultilevel"/>
    <w:tmpl w:val="7138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47CFD"/>
    <w:multiLevelType w:val="multilevel"/>
    <w:tmpl w:val="7568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B41C4"/>
    <w:multiLevelType w:val="hybridMultilevel"/>
    <w:tmpl w:val="F98AE09E"/>
    <w:lvl w:ilvl="0" w:tplc="E752EC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A155F"/>
    <w:multiLevelType w:val="hybridMultilevel"/>
    <w:tmpl w:val="468E4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D43A4C"/>
    <w:multiLevelType w:val="hybridMultilevel"/>
    <w:tmpl w:val="811EFEF8"/>
    <w:lvl w:ilvl="0" w:tplc="FFFFFFFF">
      <w:start w:val="1"/>
      <w:numFmt w:val="decimal"/>
      <w:lvlText w:val="%1."/>
      <w:lvlJc w:val="left"/>
      <w:pPr>
        <w:ind w:left="360" w:hanging="360"/>
      </w:pPr>
      <w:rPr>
        <w:rFonts w:hint="default"/>
        <w:b/>
        <w:color w:val="auto"/>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22E00"/>
    <w:multiLevelType w:val="hybridMultilevel"/>
    <w:tmpl w:val="AD66BBC0"/>
    <w:lvl w:ilvl="0" w:tplc="9578B15C">
      <w:start w:val="2023"/>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27952B18"/>
    <w:multiLevelType w:val="hybridMultilevel"/>
    <w:tmpl w:val="E3F02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B4A6DB1"/>
    <w:multiLevelType w:val="hybridMultilevel"/>
    <w:tmpl w:val="F0F2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E31E24"/>
    <w:multiLevelType w:val="hybridMultilevel"/>
    <w:tmpl w:val="23EE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347175"/>
    <w:multiLevelType w:val="hybridMultilevel"/>
    <w:tmpl w:val="C96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983D86"/>
    <w:multiLevelType w:val="hybridMultilevel"/>
    <w:tmpl w:val="014AAC18"/>
    <w:lvl w:ilvl="0" w:tplc="DA92C6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FE67AD"/>
    <w:multiLevelType w:val="hybridMultilevel"/>
    <w:tmpl w:val="AD38EE0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43C6B36"/>
    <w:multiLevelType w:val="hybridMultilevel"/>
    <w:tmpl w:val="7AD4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F993B23"/>
    <w:multiLevelType w:val="hybridMultilevel"/>
    <w:tmpl w:val="ED743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8C81738"/>
    <w:multiLevelType w:val="hybridMultilevel"/>
    <w:tmpl w:val="EDC2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D70C28"/>
    <w:multiLevelType w:val="hybridMultilevel"/>
    <w:tmpl w:val="FF8E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E40348"/>
    <w:multiLevelType w:val="hybridMultilevel"/>
    <w:tmpl w:val="42784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24741C"/>
    <w:multiLevelType w:val="hybridMultilevel"/>
    <w:tmpl w:val="2C28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A243DF"/>
    <w:multiLevelType w:val="hybridMultilevel"/>
    <w:tmpl w:val="A84C0340"/>
    <w:lvl w:ilvl="0" w:tplc="F2F8A8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0263457">
    <w:abstractNumId w:val="26"/>
  </w:num>
  <w:num w:numId="2" w16cid:durableId="1427313872">
    <w:abstractNumId w:val="25"/>
  </w:num>
  <w:num w:numId="3" w16cid:durableId="2146577385">
    <w:abstractNumId w:val="9"/>
  </w:num>
  <w:num w:numId="4" w16cid:durableId="15694387">
    <w:abstractNumId w:val="15"/>
  </w:num>
  <w:num w:numId="5" w16cid:durableId="2127771944">
    <w:abstractNumId w:val="7"/>
  </w:num>
  <w:num w:numId="6" w16cid:durableId="742023040">
    <w:abstractNumId w:val="13"/>
  </w:num>
  <w:num w:numId="7" w16cid:durableId="159542219">
    <w:abstractNumId w:val="12"/>
  </w:num>
  <w:num w:numId="8" w16cid:durableId="1099133451">
    <w:abstractNumId w:val="0"/>
  </w:num>
  <w:num w:numId="9" w16cid:durableId="333916833">
    <w:abstractNumId w:val="8"/>
  </w:num>
  <w:num w:numId="10" w16cid:durableId="229662166">
    <w:abstractNumId w:val="3"/>
  </w:num>
  <w:num w:numId="11" w16cid:durableId="986785450">
    <w:abstractNumId w:val="14"/>
  </w:num>
  <w:num w:numId="12" w16cid:durableId="883712901">
    <w:abstractNumId w:val="16"/>
  </w:num>
  <w:num w:numId="13" w16cid:durableId="1207332704">
    <w:abstractNumId w:val="11"/>
  </w:num>
  <w:num w:numId="14" w16cid:durableId="275019144">
    <w:abstractNumId w:val="21"/>
  </w:num>
  <w:num w:numId="15" w16cid:durableId="1825075433">
    <w:abstractNumId w:val="20"/>
  </w:num>
  <w:num w:numId="16" w16cid:durableId="184441806">
    <w:abstractNumId w:val="2"/>
  </w:num>
  <w:num w:numId="17" w16cid:durableId="799955915">
    <w:abstractNumId w:val="1"/>
  </w:num>
  <w:num w:numId="18" w16cid:durableId="777532700">
    <w:abstractNumId w:val="25"/>
  </w:num>
  <w:num w:numId="19" w16cid:durableId="889078453">
    <w:abstractNumId w:val="10"/>
  </w:num>
  <w:num w:numId="20" w16cid:durableId="1172375360">
    <w:abstractNumId w:val="19"/>
  </w:num>
  <w:num w:numId="21" w16cid:durableId="20472253">
    <w:abstractNumId w:val="4"/>
  </w:num>
  <w:num w:numId="22" w16cid:durableId="351567626">
    <w:abstractNumId w:val="24"/>
  </w:num>
  <w:num w:numId="23" w16cid:durableId="2109111748">
    <w:abstractNumId w:val="18"/>
  </w:num>
  <w:num w:numId="24" w16cid:durableId="1136871848">
    <w:abstractNumId w:val="6"/>
  </w:num>
  <w:num w:numId="25" w16cid:durableId="328675657">
    <w:abstractNumId w:val="5"/>
  </w:num>
  <w:num w:numId="26" w16cid:durableId="1029725102">
    <w:abstractNumId w:val="22"/>
  </w:num>
  <w:num w:numId="27" w16cid:durableId="1273393439">
    <w:abstractNumId w:val="23"/>
  </w:num>
  <w:num w:numId="28" w16cid:durableId="6214990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1F30"/>
    <w:rsid w:val="00004ECA"/>
    <w:rsid w:val="00005CD8"/>
    <w:rsid w:val="00006B4D"/>
    <w:rsid w:val="00007231"/>
    <w:rsid w:val="00010C97"/>
    <w:rsid w:val="00015699"/>
    <w:rsid w:val="0001738E"/>
    <w:rsid w:val="000308F4"/>
    <w:rsid w:val="00033888"/>
    <w:rsid w:val="00035749"/>
    <w:rsid w:val="0004338E"/>
    <w:rsid w:val="00044976"/>
    <w:rsid w:val="00051E53"/>
    <w:rsid w:val="00052152"/>
    <w:rsid w:val="00055D23"/>
    <w:rsid w:val="0006025D"/>
    <w:rsid w:val="00060707"/>
    <w:rsid w:val="00066E18"/>
    <w:rsid w:val="000741AE"/>
    <w:rsid w:val="00076FA4"/>
    <w:rsid w:val="00082A50"/>
    <w:rsid w:val="0008681C"/>
    <w:rsid w:val="0009206C"/>
    <w:rsid w:val="000A57E2"/>
    <w:rsid w:val="000B3992"/>
    <w:rsid w:val="000C1FF9"/>
    <w:rsid w:val="000C3BD2"/>
    <w:rsid w:val="000C4904"/>
    <w:rsid w:val="000D1877"/>
    <w:rsid w:val="000D2BA0"/>
    <w:rsid w:val="000D5A0A"/>
    <w:rsid w:val="000E4A17"/>
    <w:rsid w:val="000F06D7"/>
    <w:rsid w:val="000F7116"/>
    <w:rsid w:val="00102062"/>
    <w:rsid w:val="001101D3"/>
    <w:rsid w:val="001127E4"/>
    <w:rsid w:val="00114681"/>
    <w:rsid w:val="00115791"/>
    <w:rsid w:val="00120200"/>
    <w:rsid w:val="00126AAE"/>
    <w:rsid w:val="00126FD8"/>
    <w:rsid w:val="0013762A"/>
    <w:rsid w:val="00142079"/>
    <w:rsid w:val="0014236F"/>
    <w:rsid w:val="0014437F"/>
    <w:rsid w:val="001456A9"/>
    <w:rsid w:val="00145A7A"/>
    <w:rsid w:val="00146C85"/>
    <w:rsid w:val="00150E4C"/>
    <w:rsid w:val="00151877"/>
    <w:rsid w:val="00152A2C"/>
    <w:rsid w:val="001559C8"/>
    <w:rsid w:val="00157FD6"/>
    <w:rsid w:val="0016544B"/>
    <w:rsid w:val="001744F4"/>
    <w:rsid w:val="00182982"/>
    <w:rsid w:val="00182E2F"/>
    <w:rsid w:val="00183FAA"/>
    <w:rsid w:val="001853A3"/>
    <w:rsid w:val="00191A85"/>
    <w:rsid w:val="001955A2"/>
    <w:rsid w:val="0019717E"/>
    <w:rsid w:val="001A6829"/>
    <w:rsid w:val="001A7BB1"/>
    <w:rsid w:val="001B7E44"/>
    <w:rsid w:val="001C606A"/>
    <w:rsid w:val="001D197F"/>
    <w:rsid w:val="001D48E0"/>
    <w:rsid w:val="001D5651"/>
    <w:rsid w:val="001D7E90"/>
    <w:rsid w:val="001E3FB9"/>
    <w:rsid w:val="001E6766"/>
    <w:rsid w:val="001F70F0"/>
    <w:rsid w:val="001F73D4"/>
    <w:rsid w:val="00202398"/>
    <w:rsid w:val="00204B1E"/>
    <w:rsid w:val="002054C6"/>
    <w:rsid w:val="00207A89"/>
    <w:rsid w:val="00215937"/>
    <w:rsid w:val="00217248"/>
    <w:rsid w:val="00222005"/>
    <w:rsid w:val="00225A0B"/>
    <w:rsid w:val="002350D6"/>
    <w:rsid w:val="002429B5"/>
    <w:rsid w:val="00242E6B"/>
    <w:rsid w:val="0024507D"/>
    <w:rsid w:val="00246FC0"/>
    <w:rsid w:val="0025189A"/>
    <w:rsid w:val="00251D5C"/>
    <w:rsid w:val="002533F8"/>
    <w:rsid w:val="00256533"/>
    <w:rsid w:val="00263BE9"/>
    <w:rsid w:val="002667FB"/>
    <w:rsid w:val="00267D81"/>
    <w:rsid w:val="0027012C"/>
    <w:rsid w:val="00272606"/>
    <w:rsid w:val="00274491"/>
    <w:rsid w:val="00277DF4"/>
    <w:rsid w:val="00286DCB"/>
    <w:rsid w:val="002A122B"/>
    <w:rsid w:val="002A497D"/>
    <w:rsid w:val="002B557E"/>
    <w:rsid w:val="002B60CA"/>
    <w:rsid w:val="002C37C0"/>
    <w:rsid w:val="002D3814"/>
    <w:rsid w:val="002E5AB7"/>
    <w:rsid w:val="002F3EB1"/>
    <w:rsid w:val="002F7E06"/>
    <w:rsid w:val="00306116"/>
    <w:rsid w:val="0031535B"/>
    <w:rsid w:val="0031558D"/>
    <w:rsid w:val="003159BF"/>
    <w:rsid w:val="003211E3"/>
    <w:rsid w:val="003224D7"/>
    <w:rsid w:val="003225FD"/>
    <w:rsid w:val="00323F85"/>
    <w:rsid w:val="003243B9"/>
    <w:rsid w:val="003252E3"/>
    <w:rsid w:val="00332E64"/>
    <w:rsid w:val="0033584E"/>
    <w:rsid w:val="003372E6"/>
    <w:rsid w:val="0034652C"/>
    <w:rsid w:val="0035197E"/>
    <w:rsid w:val="003526BC"/>
    <w:rsid w:val="00355AD7"/>
    <w:rsid w:val="00367893"/>
    <w:rsid w:val="00370B7F"/>
    <w:rsid w:val="00377860"/>
    <w:rsid w:val="003823F6"/>
    <w:rsid w:val="00387030"/>
    <w:rsid w:val="003964DC"/>
    <w:rsid w:val="0039685A"/>
    <w:rsid w:val="0039768B"/>
    <w:rsid w:val="003A0F82"/>
    <w:rsid w:val="003A1BAB"/>
    <w:rsid w:val="003A1CB3"/>
    <w:rsid w:val="003A1F99"/>
    <w:rsid w:val="003A30B1"/>
    <w:rsid w:val="003B40F9"/>
    <w:rsid w:val="003B5E97"/>
    <w:rsid w:val="003C46BD"/>
    <w:rsid w:val="003C792E"/>
    <w:rsid w:val="003C797C"/>
    <w:rsid w:val="003D2D9B"/>
    <w:rsid w:val="003D3243"/>
    <w:rsid w:val="003D5842"/>
    <w:rsid w:val="003D6BCA"/>
    <w:rsid w:val="003D76C4"/>
    <w:rsid w:val="003D780B"/>
    <w:rsid w:val="003F0364"/>
    <w:rsid w:val="003F1957"/>
    <w:rsid w:val="00403CCD"/>
    <w:rsid w:val="00404266"/>
    <w:rsid w:val="00414B77"/>
    <w:rsid w:val="00417AE9"/>
    <w:rsid w:val="004217EC"/>
    <w:rsid w:val="0042680A"/>
    <w:rsid w:val="004344FB"/>
    <w:rsid w:val="004375E6"/>
    <w:rsid w:val="00440499"/>
    <w:rsid w:val="0044192C"/>
    <w:rsid w:val="0044605A"/>
    <w:rsid w:val="00452C4D"/>
    <w:rsid w:val="00455951"/>
    <w:rsid w:val="004634DF"/>
    <w:rsid w:val="00480298"/>
    <w:rsid w:val="00480420"/>
    <w:rsid w:val="004849C3"/>
    <w:rsid w:val="00486CA5"/>
    <w:rsid w:val="0048729A"/>
    <w:rsid w:val="00490264"/>
    <w:rsid w:val="004967C1"/>
    <w:rsid w:val="004970B5"/>
    <w:rsid w:val="00497F78"/>
    <w:rsid w:val="004A04E7"/>
    <w:rsid w:val="004A07B2"/>
    <w:rsid w:val="004A145B"/>
    <w:rsid w:val="004B061D"/>
    <w:rsid w:val="004C0CB8"/>
    <w:rsid w:val="004C0ED7"/>
    <w:rsid w:val="004C13A6"/>
    <w:rsid w:val="004C1D51"/>
    <w:rsid w:val="004C4A98"/>
    <w:rsid w:val="004C6B50"/>
    <w:rsid w:val="004D02A8"/>
    <w:rsid w:val="004D7B08"/>
    <w:rsid w:val="004E041D"/>
    <w:rsid w:val="004E29D2"/>
    <w:rsid w:val="004E2BFE"/>
    <w:rsid w:val="005009D9"/>
    <w:rsid w:val="00503FBC"/>
    <w:rsid w:val="00505F79"/>
    <w:rsid w:val="005113DE"/>
    <w:rsid w:val="005131C0"/>
    <w:rsid w:val="00526786"/>
    <w:rsid w:val="005320F9"/>
    <w:rsid w:val="00541CD9"/>
    <w:rsid w:val="005449D2"/>
    <w:rsid w:val="00547129"/>
    <w:rsid w:val="005531B4"/>
    <w:rsid w:val="005563D5"/>
    <w:rsid w:val="00560CE9"/>
    <w:rsid w:val="00570784"/>
    <w:rsid w:val="005709AD"/>
    <w:rsid w:val="00572F7D"/>
    <w:rsid w:val="005752FC"/>
    <w:rsid w:val="0058082D"/>
    <w:rsid w:val="00583048"/>
    <w:rsid w:val="005862B8"/>
    <w:rsid w:val="0058679F"/>
    <w:rsid w:val="00587D64"/>
    <w:rsid w:val="00587F58"/>
    <w:rsid w:val="005A20FE"/>
    <w:rsid w:val="005A3356"/>
    <w:rsid w:val="005A5A54"/>
    <w:rsid w:val="005C131A"/>
    <w:rsid w:val="005C2DE0"/>
    <w:rsid w:val="005C2ECC"/>
    <w:rsid w:val="005C7512"/>
    <w:rsid w:val="005D25BF"/>
    <w:rsid w:val="005D4A7A"/>
    <w:rsid w:val="005E1227"/>
    <w:rsid w:val="005E1BCA"/>
    <w:rsid w:val="005E26B8"/>
    <w:rsid w:val="005E6FAA"/>
    <w:rsid w:val="005F5697"/>
    <w:rsid w:val="00600497"/>
    <w:rsid w:val="0060056B"/>
    <w:rsid w:val="00600B94"/>
    <w:rsid w:val="00607136"/>
    <w:rsid w:val="0060797B"/>
    <w:rsid w:val="00607C69"/>
    <w:rsid w:val="0061720F"/>
    <w:rsid w:val="00621495"/>
    <w:rsid w:val="0062245D"/>
    <w:rsid w:val="00623DA2"/>
    <w:rsid w:val="00624DDC"/>
    <w:rsid w:val="006262BA"/>
    <w:rsid w:val="006308E2"/>
    <w:rsid w:val="00630B55"/>
    <w:rsid w:val="00631D39"/>
    <w:rsid w:val="00636330"/>
    <w:rsid w:val="0063671E"/>
    <w:rsid w:val="0063784C"/>
    <w:rsid w:val="00645CA1"/>
    <w:rsid w:val="00647F2B"/>
    <w:rsid w:val="00656331"/>
    <w:rsid w:val="00665F52"/>
    <w:rsid w:val="006660C1"/>
    <w:rsid w:val="006665CE"/>
    <w:rsid w:val="00666F7B"/>
    <w:rsid w:val="006678DB"/>
    <w:rsid w:val="006751F7"/>
    <w:rsid w:val="006762E6"/>
    <w:rsid w:val="00676C3A"/>
    <w:rsid w:val="00677E97"/>
    <w:rsid w:val="00677EF7"/>
    <w:rsid w:val="00681102"/>
    <w:rsid w:val="00690BD0"/>
    <w:rsid w:val="0069166E"/>
    <w:rsid w:val="006A2D98"/>
    <w:rsid w:val="006A7264"/>
    <w:rsid w:val="006B40CA"/>
    <w:rsid w:val="006B6209"/>
    <w:rsid w:val="006C17E2"/>
    <w:rsid w:val="006C1C08"/>
    <w:rsid w:val="006C5111"/>
    <w:rsid w:val="006D19EE"/>
    <w:rsid w:val="006D4197"/>
    <w:rsid w:val="006E34F3"/>
    <w:rsid w:val="006E3DBE"/>
    <w:rsid w:val="006E75ED"/>
    <w:rsid w:val="006F67AC"/>
    <w:rsid w:val="006F760E"/>
    <w:rsid w:val="00703906"/>
    <w:rsid w:val="00703F90"/>
    <w:rsid w:val="0070453C"/>
    <w:rsid w:val="00710E6B"/>
    <w:rsid w:val="00712187"/>
    <w:rsid w:val="007124E1"/>
    <w:rsid w:val="00712577"/>
    <w:rsid w:val="007129EC"/>
    <w:rsid w:val="00713CAE"/>
    <w:rsid w:val="007204CA"/>
    <w:rsid w:val="007214E3"/>
    <w:rsid w:val="00723807"/>
    <w:rsid w:val="00727FF2"/>
    <w:rsid w:val="00730B33"/>
    <w:rsid w:val="007336C5"/>
    <w:rsid w:val="007450DE"/>
    <w:rsid w:val="00752D74"/>
    <w:rsid w:val="007562CE"/>
    <w:rsid w:val="007604DA"/>
    <w:rsid w:val="0076251A"/>
    <w:rsid w:val="00762CFC"/>
    <w:rsid w:val="00765A08"/>
    <w:rsid w:val="0077474B"/>
    <w:rsid w:val="007A29E9"/>
    <w:rsid w:val="007A2E63"/>
    <w:rsid w:val="007B0ACA"/>
    <w:rsid w:val="007B2B88"/>
    <w:rsid w:val="007B5414"/>
    <w:rsid w:val="007B59AA"/>
    <w:rsid w:val="007C0402"/>
    <w:rsid w:val="007C5C8D"/>
    <w:rsid w:val="007D0A2A"/>
    <w:rsid w:val="007D2704"/>
    <w:rsid w:val="007D2F0F"/>
    <w:rsid w:val="007D47DF"/>
    <w:rsid w:val="007D6B2E"/>
    <w:rsid w:val="007E11CD"/>
    <w:rsid w:val="007F2624"/>
    <w:rsid w:val="007F681D"/>
    <w:rsid w:val="00800975"/>
    <w:rsid w:val="0080321F"/>
    <w:rsid w:val="00804E1A"/>
    <w:rsid w:val="0080653B"/>
    <w:rsid w:val="00812E1A"/>
    <w:rsid w:val="00813014"/>
    <w:rsid w:val="00814B04"/>
    <w:rsid w:val="0082179E"/>
    <w:rsid w:val="0082539A"/>
    <w:rsid w:val="0082777F"/>
    <w:rsid w:val="008302A8"/>
    <w:rsid w:val="00831C1A"/>
    <w:rsid w:val="00836DD8"/>
    <w:rsid w:val="008410AB"/>
    <w:rsid w:val="00843FBD"/>
    <w:rsid w:val="00845227"/>
    <w:rsid w:val="0085016F"/>
    <w:rsid w:val="008606BB"/>
    <w:rsid w:val="0086194E"/>
    <w:rsid w:val="00862A12"/>
    <w:rsid w:val="0087241B"/>
    <w:rsid w:val="00874233"/>
    <w:rsid w:val="00874FEC"/>
    <w:rsid w:val="008944A8"/>
    <w:rsid w:val="00895755"/>
    <w:rsid w:val="008A0881"/>
    <w:rsid w:val="008A2FEA"/>
    <w:rsid w:val="008A4DDE"/>
    <w:rsid w:val="008A6B36"/>
    <w:rsid w:val="008A79DC"/>
    <w:rsid w:val="008B10E8"/>
    <w:rsid w:val="008B1CA2"/>
    <w:rsid w:val="008B5D1F"/>
    <w:rsid w:val="008B62E2"/>
    <w:rsid w:val="008B6D49"/>
    <w:rsid w:val="008C77DE"/>
    <w:rsid w:val="008D70D2"/>
    <w:rsid w:val="008E16FE"/>
    <w:rsid w:val="008E1BD7"/>
    <w:rsid w:val="008F4DB1"/>
    <w:rsid w:val="00901950"/>
    <w:rsid w:val="00907138"/>
    <w:rsid w:val="00911002"/>
    <w:rsid w:val="009158F7"/>
    <w:rsid w:val="00916C7F"/>
    <w:rsid w:val="009200E7"/>
    <w:rsid w:val="00934859"/>
    <w:rsid w:val="00934EB9"/>
    <w:rsid w:val="009503B1"/>
    <w:rsid w:val="00951A26"/>
    <w:rsid w:val="00951D61"/>
    <w:rsid w:val="0097236B"/>
    <w:rsid w:val="00976EF1"/>
    <w:rsid w:val="00977716"/>
    <w:rsid w:val="0098033B"/>
    <w:rsid w:val="0098069C"/>
    <w:rsid w:val="009850CA"/>
    <w:rsid w:val="009A5057"/>
    <w:rsid w:val="009A7BB5"/>
    <w:rsid w:val="009B380E"/>
    <w:rsid w:val="009B6F45"/>
    <w:rsid w:val="009C1EE7"/>
    <w:rsid w:val="009C457D"/>
    <w:rsid w:val="009C5E8D"/>
    <w:rsid w:val="009C6E79"/>
    <w:rsid w:val="009C7E7A"/>
    <w:rsid w:val="009D19D7"/>
    <w:rsid w:val="009D5749"/>
    <w:rsid w:val="009D6EC9"/>
    <w:rsid w:val="009E0A1E"/>
    <w:rsid w:val="009E3E24"/>
    <w:rsid w:val="009F6A98"/>
    <w:rsid w:val="00A0130D"/>
    <w:rsid w:val="00A02201"/>
    <w:rsid w:val="00A03B78"/>
    <w:rsid w:val="00A06429"/>
    <w:rsid w:val="00A12920"/>
    <w:rsid w:val="00A21A49"/>
    <w:rsid w:val="00A35A4C"/>
    <w:rsid w:val="00A361BF"/>
    <w:rsid w:val="00A40933"/>
    <w:rsid w:val="00A40DCD"/>
    <w:rsid w:val="00A43C41"/>
    <w:rsid w:val="00A53C4E"/>
    <w:rsid w:val="00A567E3"/>
    <w:rsid w:val="00A61F75"/>
    <w:rsid w:val="00A620BD"/>
    <w:rsid w:val="00A63209"/>
    <w:rsid w:val="00A84C54"/>
    <w:rsid w:val="00A865AB"/>
    <w:rsid w:val="00A866A7"/>
    <w:rsid w:val="00A95C9E"/>
    <w:rsid w:val="00A97433"/>
    <w:rsid w:val="00A97BED"/>
    <w:rsid w:val="00AA3CC8"/>
    <w:rsid w:val="00AA4D15"/>
    <w:rsid w:val="00AA6C62"/>
    <w:rsid w:val="00AC2B25"/>
    <w:rsid w:val="00AC3DE4"/>
    <w:rsid w:val="00AD03B8"/>
    <w:rsid w:val="00AD3789"/>
    <w:rsid w:val="00AD673D"/>
    <w:rsid w:val="00AE0FA5"/>
    <w:rsid w:val="00AE12F6"/>
    <w:rsid w:val="00AE3508"/>
    <w:rsid w:val="00AE3F25"/>
    <w:rsid w:val="00AE65D6"/>
    <w:rsid w:val="00AE66C0"/>
    <w:rsid w:val="00AE7D30"/>
    <w:rsid w:val="00B00FE3"/>
    <w:rsid w:val="00B06F67"/>
    <w:rsid w:val="00B10D03"/>
    <w:rsid w:val="00B13A8B"/>
    <w:rsid w:val="00B17EFB"/>
    <w:rsid w:val="00B20327"/>
    <w:rsid w:val="00B20F0B"/>
    <w:rsid w:val="00B23D6C"/>
    <w:rsid w:val="00B24248"/>
    <w:rsid w:val="00B30140"/>
    <w:rsid w:val="00B3166D"/>
    <w:rsid w:val="00B32064"/>
    <w:rsid w:val="00B32385"/>
    <w:rsid w:val="00B34A55"/>
    <w:rsid w:val="00B35FC0"/>
    <w:rsid w:val="00B372C9"/>
    <w:rsid w:val="00B37E1A"/>
    <w:rsid w:val="00B44CE0"/>
    <w:rsid w:val="00B47341"/>
    <w:rsid w:val="00B563A4"/>
    <w:rsid w:val="00B62730"/>
    <w:rsid w:val="00B635BC"/>
    <w:rsid w:val="00B63B57"/>
    <w:rsid w:val="00B6655C"/>
    <w:rsid w:val="00B72775"/>
    <w:rsid w:val="00B728B7"/>
    <w:rsid w:val="00B744B2"/>
    <w:rsid w:val="00B74F42"/>
    <w:rsid w:val="00B754E1"/>
    <w:rsid w:val="00B77058"/>
    <w:rsid w:val="00B82452"/>
    <w:rsid w:val="00B842F0"/>
    <w:rsid w:val="00B86210"/>
    <w:rsid w:val="00B9676A"/>
    <w:rsid w:val="00B97696"/>
    <w:rsid w:val="00BA2E05"/>
    <w:rsid w:val="00BA2E19"/>
    <w:rsid w:val="00BA5E2A"/>
    <w:rsid w:val="00BA697F"/>
    <w:rsid w:val="00BA74D1"/>
    <w:rsid w:val="00BB2080"/>
    <w:rsid w:val="00BB759F"/>
    <w:rsid w:val="00BC2051"/>
    <w:rsid w:val="00BC4C56"/>
    <w:rsid w:val="00BD0717"/>
    <w:rsid w:val="00BD1FEB"/>
    <w:rsid w:val="00BD23DC"/>
    <w:rsid w:val="00BE53E5"/>
    <w:rsid w:val="00BF4DBA"/>
    <w:rsid w:val="00C01690"/>
    <w:rsid w:val="00C04962"/>
    <w:rsid w:val="00C06567"/>
    <w:rsid w:val="00C135BC"/>
    <w:rsid w:val="00C15B4F"/>
    <w:rsid w:val="00C24930"/>
    <w:rsid w:val="00C30924"/>
    <w:rsid w:val="00C31E27"/>
    <w:rsid w:val="00C40D7F"/>
    <w:rsid w:val="00C436E3"/>
    <w:rsid w:val="00C437D2"/>
    <w:rsid w:val="00C51BAF"/>
    <w:rsid w:val="00C55830"/>
    <w:rsid w:val="00C72D79"/>
    <w:rsid w:val="00C739F8"/>
    <w:rsid w:val="00C8423E"/>
    <w:rsid w:val="00C903C5"/>
    <w:rsid w:val="00C9396F"/>
    <w:rsid w:val="00CA0D47"/>
    <w:rsid w:val="00CA3288"/>
    <w:rsid w:val="00CA4F90"/>
    <w:rsid w:val="00CA7EDB"/>
    <w:rsid w:val="00CB2731"/>
    <w:rsid w:val="00CB2D86"/>
    <w:rsid w:val="00CB607F"/>
    <w:rsid w:val="00CC4A06"/>
    <w:rsid w:val="00CC7431"/>
    <w:rsid w:val="00CD5605"/>
    <w:rsid w:val="00CE288C"/>
    <w:rsid w:val="00CE386A"/>
    <w:rsid w:val="00CF33E6"/>
    <w:rsid w:val="00CF776E"/>
    <w:rsid w:val="00D00429"/>
    <w:rsid w:val="00D0244F"/>
    <w:rsid w:val="00D02D2A"/>
    <w:rsid w:val="00D127BB"/>
    <w:rsid w:val="00D26395"/>
    <w:rsid w:val="00D3192F"/>
    <w:rsid w:val="00D32B58"/>
    <w:rsid w:val="00D338FA"/>
    <w:rsid w:val="00D36C08"/>
    <w:rsid w:val="00D37950"/>
    <w:rsid w:val="00D37FBF"/>
    <w:rsid w:val="00D40242"/>
    <w:rsid w:val="00D52E06"/>
    <w:rsid w:val="00D5773E"/>
    <w:rsid w:val="00D662C7"/>
    <w:rsid w:val="00D6795B"/>
    <w:rsid w:val="00D71C45"/>
    <w:rsid w:val="00D807C6"/>
    <w:rsid w:val="00D82138"/>
    <w:rsid w:val="00D962C6"/>
    <w:rsid w:val="00DA0744"/>
    <w:rsid w:val="00DB0365"/>
    <w:rsid w:val="00DB5EBC"/>
    <w:rsid w:val="00DB649A"/>
    <w:rsid w:val="00DC2F9A"/>
    <w:rsid w:val="00DC6B96"/>
    <w:rsid w:val="00DD7078"/>
    <w:rsid w:val="00DE4FDC"/>
    <w:rsid w:val="00DE66A3"/>
    <w:rsid w:val="00E02CF4"/>
    <w:rsid w:val="00E05896"/>
    <w:rsid w:val="00E07C1D"/>
    <w:rsid w:val="00E10DF8"/>
    <w:rsid w:val="00E13E22"/>
    <w:rsid w:val="00E20958"/>
    <w:rsid w:val="00E22C8F"/>
    <w:rsid w:val="00E22D9C"/>
    <w:rsid w:val="00E25BBC"/>
    <w:rsid w:val="00E32A70"/>
    <w:rsid w:val="00E32EED"/>
    <w:rsid w:val="00E402FC"/>
    <w:rsid w:val="00E4415B"/>
    <w:rsid w:val="00E54EC2"/>
    <w:rsid w:val="00E62BD6"/>
    <w:rsid w:val="00E63A2D"/>
    <w:rsid w:val="00E646AA"/>
    <w:rsid w:val="00E7125F"/>
    <w:rsid w:val="00E77E0D"/>
    <w:rsid w:val="00E82B70"/>
    <w:rsid w:val="00E870EB"/>
    <w:rsid w:val="00E919D9"/>
    <w:rsid w:val="00E9609E"/>
    <w:rsid w:val="00E96BE2"/>
    <w:rsid w:val="00E96CFC"/>
    <w:rsid w:val="00EA0E1A"/>
    <w:rsid w:val="00EA1AA8"/>
    <w:rsid w:val="00EA2269"/>
    <w:rsid w:val="00EA58AF"/>
    <w:rsid w:val="00EA755C"/>
    <w:rsid w:val="00EB10D0"/>
    <w:rsid w:val="00EB122A"/>
    <w:rsid w:val="00EB62F8"/>
    <w:rsid w:val="00EC3693"/>
    <w:rsid w:val="00EE2A08"/>
    <w:rsid w:val="00EE3063"/>
    <w:rsid w:val="00EE76E1"/>
    <w:rsid w:val="00F04B86"/>
    <w:rsid w:val="00F1129B"/>
    <w:rsid w:val="00F12889"/>
    <w:rsid w:val="00F135EF"/>
    <w:rsid w:val="00F13858"/>
    <w:rsid w:val="00F15765"/>
    <w:rsid w:val="00F1727C"/>
    <w:rsid w:val="00F21CE5"/>
    <w:rsid w:val="00F22CDD"/>
    <w:rsid w:val="00F25A89"/>
    <w:rsid w:val="00F30E0A"/>
    <w:rsid w:val="00F31F98"/>
    <w:rsid w:val="00F36F62"/>
    <w:rsid w:val="00F412ED"/>
    <w:rsid w:val="00F427D6"/>
    <w:rsid w:val="00F42936"/>
    <w:rsid w:val="00F45882"/>
    <w:rsid w:val="00F51E6B"/>
    <w:rsid w:val="00F538F1"/>
    <w:rsid w:val="00F56B34"/>
    <w:rsid w:val="00F57859"/>
    <w:rsid w:val="00F57F72"/>
    <w:rsid w:val="00F73EB5"/>
    <w:rsid w:val="00F82B19"/>
    <w:rsid w:val="00F82E59"/>
    <w:rsid w:val="00F855C3"/>
    <w:rsid w:val="00F87D93"/>
    <w:rsid w:val="00F9009B"/>
    <w:rsid w:val="00F90BE1"/>
    <w:rsid w:val="00FA5805"/>
    <w:rsid w:val="00FA71AA"/>
    <w:rsid w:val="00FB5CEA"/>
    <w:rsid w:val="00FC1EF0"/>
    <w:rsid w:val="00FC4470"/>
    <w:rsid w:val="00FC6BB9"/>
    <w:rsid w:val="00FD05E5"/>
    <w:rsid w:val="00FD2835"/>
    <w:rsid w:val="00FD6E08"/>
    <w:rsid w:val="00FE2969"/>
    <w:rsid w:val="00FF138B"/>
    <w:rsid w:val="00FF266A"/>
    <w:rsid w:val="00FF3D56"/>
    <w:rsid w:val="00FF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8657"/>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54"/>
  </w:style>
  <w:style w:type="paragraph" w:styleId="Heading1">
    <w:name w:val="heading 1"/>
    <w:basedOn w:val="Normal"/>
    <w:next w:val="Normal"/>
    <w:link w:val="Heading1Char"/>
    <w:uiPriority w:val="9"/>
    <w:qFormat/>
    <w:rsid w:val="00A63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basedOn w:val="Normal"/>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styleId="UnresolvedMention">
    <w:name w:val="Unresolved Mention"/>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A63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paragraph" w:customStyle="1" w:styleId="xmsonormal">
    <w:name w:val="x_msonormal"/>
    <w:basedOn w:val="Normal"/>
    <w:rsid w:val="00F9009B"/>
    <w:pPr>
      <w:spacing w:after="0" w:line="240" w:lineRule="auto"/>
    </w:pPr>
    <w:rPr>
      <w:rFonts w:ascii="Calibri" w:hAnsi="Calibri" w:cs="Calibri"/>
      <w:lang w:eastAsia="en-AU"/>
    </w:rPr>
  </w:style>
  <w:style w:type="paragraph" w:styleId="TOC1">
    <w:name w:val="toc 1"/>
    <w:basedOn w:val="Normal"/>
    <w:next w:val="Normal"/>
    <w:autoRedefine/>
    <w:uiPriority w:val="39"/>
    <w:unhideWhenUsed/>
    <w:rsid w:val="00587F58"/>
    <w:pPr>
      <w:spacing w:after="100"/>
    </w:pPr>
  </w:style>
  <w:style w:type="paragraph" w:styleId="TOC2">
    <w:name w:val="toc 2"/>
    <w:basedOn w:val="Normal"/>
    <w:next w:val="Normal"/>
    <w:autoRedefine/>
    <w:uiPriority w:val="39"/>
    <w:unhideWhenUsed/>
    <w:rsid w:val="00587F58"/>
    <w:pPr>
      <w:spacing w:after="100"/>
      <w:ind w:left="220"/>
    </w:pPr>
  </w:style>
  <w:style w:type="paragraph" w:styleId="TOCHeading">
    <w:name w:val="TOC Heading"/>
    <w:basedOn w:val="Heading1"/>
    <w:next w:val="Normal"/>
    <w:uiPriority w:val="39"/>
    <w:unhideWhenUsed/>
    <w:qFormat/>
    <w:rsid w:val="00E05896"/>
    <w:pPr>
      <w:outlineLvl w:val="9"/>
    </w:pPr>
    <w:rPr>
      <w:lang w:val="en-US"/>
    </w:rPr>
  </w:style>
  <w:style w:type="paragraph" w:styleId="TOC3">
    <w:name w:val="toc 3"/>
    <w:basedOn w:val="Normal"/>
    <w:next w:val="Normal"/>
    <w:autoRedefine/>
    <w:uiPriority w:val="39"/>
    <w:unhideWhenUsed/>
    <w:rsid w:val="009D6EC9"/>
    <w:pPr>
      <w:spacing w:after="100"/>
      <w:ind w:left="440"/>
    </w:pPr>
  </w:style>
  <w:style w:type="character" w:styleId="PlaceholderText">
    <w:name w:val="Placeholder Text"/>
    <w:basedOn w:val="DefaultParagraphFont"/>
    <w:uiPriority w:val="99"/>
    <w:semiHidden/>
    <w:rsid w:val="006C1C08"/>
    <w:rPr>
      <w:color w:val="808080"/>
    </w:rPr>
  </w:style>
  <w:style w:type="paragraph" w:styleId="NoSpacing">
    <w:name w:val="No Spacing"/>
    <w:uiPriority w:val="1"/>
    <w:qFormat/>
    <w:rsid w:val="00AE7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9711">
      <w:bodyDiv w:val="1"/>
      <w:marLeft w:val="0"/>
      <w:marRight w:val="0"/>
      <w:marTop w:val="0"/>
      <w:marBottom w:val="0"/>
      <w:divBdr>
        <w:top w:val="none" w:sz="0" w:space="0" w:color="auto"/>
        <w:left w:val="none" w:sz="0" w:space="0" w:color="auto"/>
        <w:bottom w:val="none" w:sz="0" w:space="0" w:color="auto"/>
        <w:right w:val="none" w:sz="0" w:space="0" w:color="auto"/>
      </w:divBdr>
    </w:div>
    <w:div w:id="243346038">
      <w:bodyDiv w:val="1"/>
      <w:marLeft w:val="0"/>
      <w:marRight w:val="0"/>
      <w:marTop w:val="0"/>
      <w:marBottom w:val="0"/>
      <w:divBdr>
        <w:top w:val="none" w:sz="0" w:space="0" w:color="auto"/>
        <w:left w:val="none" w:sz="0" w:space="0" w:color="auto"/>
        <w:bottom w:val="none" w:sz="0" w:space="0" w:color="auto"/>
        <w:right w:val="none" w:sz="0" w:space="0" w:color="auto"/>
      </w:divBdr>
    </w:div>
    <w:div w:id="299116937">
      <w:bodyDiv w:val="1"/>
      <w:marLeft w:val="0"/>
      <w:marRight w:val="0"/>
      <w:marTop w:val="0"/>
      <w:marBottom w:val="0"/>
      <w:divBdr>
        <w:top w:val="none" w:sz="0" w:space="0" w:color="auto"/>
        <w:left w:val="none" w:sz="0" w:space="0" w:color="auto"/>
        <w:bottom w:val="none" w:sz="0" w:space="0" w:color="auto"/>
        <w:right w:val="none" w:sz="0" w:space="0" w:color="auto"/>
      </w:divBdr>
    </w:div>
    <w:div w:id="500317138">
      <w:bodyDiv w:val="1"/>
      <w:marLeft w:val="0"/>
      <w:marRight w:val="0"/>
      <w:marTop w:val="0"/>
      <w:marBottom w:val="0"/>
      <w:divBdr>
        <w:top w:val="none" w:sz="0" w:space="0" w:color="auto"/>
        <w:left w:val="none" w:sz="0" w:space="0" w:color="auto"/>
        <w:bottom w:val="none" w:sz="0" w:space="0" w:color="auto"/>
        <w:right w:val="none" w:sz="0" w:space="0" w:color="auto"/>
      </w:divBdr>
    </w:div>
    <w:div w:id="634682973">
      <w:bodyDiv w:val="1"/>
      <w:marLeft w:val="0"/>
      <w:marRight w:val="0"/>
      <w:marTop w:val="0"/>
      <w:marBottom w:val="0"/>
      <w:divBdr>
        <w:top w:val="none" w:sz="0" w:space="0" w:color="auto"/>
        <w:left w:val="none" w:sz="0" w:space="0" w:color="auto"/>
        <w:bottom w:val="none" w:sz="0" w:space="0" w:color="auto"/>
        <w:right w:val="none" w:sz="0" w:space="0" w:color="auto"/>
      </w:divBdr>
    </w:div>
    <w:div w:id="730618147">
      <w:bodyDiv w:val="1"/>
      <w:marLeft w:val="0"/>
      <w:marRight w:val="0"/>
      <w:marTop w:val="0"/>
      <w:marBottom w:val="0"/>
      <w:divBdr>
        <w:top w:val="none" w:sz="0" w:space="0" w:color="auto"/>
        <w:left w:val="none" w:sz="0" w:space="0" w:color="auto"/>
        <w:bottom w:val="none" w:sz="0" w:space="0" w:color="auto"/>
        <w:right w:val="none" w:sz="0" w:space="0" w:color="auto"/>
      </w:divBdr>
    </w:div>
    <w:div w:id="786588488">
      <w:bodyDiv w:val="1"/>
      <w:marLeft w:val="0"/>
      <w:marRight w:val="0"/>
      <w:marTop w:val="0"/>
      <w:marBottom w:val="0"/>
      <w:divBdr>
        <w:top w:val="none" w:sz="0" w:space="0" w:color="auto"/>
        <w:left w:val="none" w:sz="0" w:space="0" w:color="auto"/>
        <w:bottom w:val="none" w:sz="0" w:space="0" w:color="auto"/>
        <w:right w:val="none" w:sz="0" w:space="0" w:color="auto"/>
      </w:divBdr>
    </w:div>
    <w:div w:id="948126040">
      <w:bodyDiv w:val="1"/>
      <w:marLeft w:val="0"/>
      <w:marRight w:val="0"/>
      <w:marTop w:val="0"/>
      <w:marBottom w:val="0"/>
      <w:divBdr>
        <w:top w:val="none" w:sz="0" w:space="0" w:color="auto"/>
        <w:left w:val="none" w:sz="0" w:space="0" w:color="auto"/>
        <w:bottom w:val="none" w:sz="0" w:space="0" w:color="auto"/>
        <w:right w:val="none" w:sz="0" w:space="0" w:color="auto"/>
      </w:divBdr>
    </w:div>
    <w:div w:id="1010254295">
      <w:bodyDiv w:val="1"/>
      <w:marLeft w:val="0"/>
      <w:marRight w:val="0"/>
      <w:marTop w:val="0"/>
      <w:marBottom w:val="0"/>
      <w:divBdr>
        <w:top w:val="none" w:sz="0" w:space="0" w:color="auto"/>
        <w:left w:val="none" w:sz="0" w:space="0" w:color="auto"/>
        <w:bottom w:val="none" w:sz="0" w:space="0" w:color="auto"/>
        <w:right w:val="none" w:sz="0" w:space="0" w:color="auto"/>
      </w:divBdr>
    </w:div>
    <w:div w:id="1196195287">
      <w:bodyDiv w:val="1"/>
      <w:marLeft w:val="0"/>
      <w:marRight w:val="0"/>
      <w:marTop w:val="0"/>
      <w:marBottom w:val="0"/>
      <w:divBdr>
        <w:top w:val="none" w:sz="0" w:space="0" w:color="auto"/>
        <w:left w:val="none" w:sz="0" w:space="0" w:color="auto"/>
        <w:bottom w:val="none" w:sz="0" w:space="0" w:color="auto"/>
        <w:right w:val="none" w:sz="0" w:space="0" w:color="auto"/>
      </w:divBdr>
    </w:div>
    <w:div w:id="1242987149">
      <w:bodyDiv w:val="1"/>
      <w:marLeft w:val="0"/>
      <w:marRight w:val="0"/>
      <w:marTop w:val="0"/>
      <w:marBottom w:val="0"/>
      <w:divBdr>
        <w:top w:val="none" w:sz="0" w:space="0" w:color="auto"/>
        <w:left w:val="none" w:sz="0" w:space="0" w:color="auto"/>
        <w:bottom w:val="none" w:sz="0" w:space="0" w:color="auto"/>
        <w:right w:val="none" w:sz="0" w:space="0" w:color="auto"/>
      </w:divBdr>
    </w:div>
    <w:div w:id="1327250452">
      <w:bodyDiv w:val="1"/>
      <w:marLeft w:val="0"/>
      <w:marRight w:val="0"/>
      <w:marTop w:val="0"/>
      <w:marBottom w:val="0"/>
      <w:divBdr>
        <w:top w:val="none" w:sz="0" w:space="0" w:color="auto"/>
        <w:left w:val="none" w:sz="0" w:space="0" w:color="auto"/>
        <w:bottom w:val="none" w:sz="0" w:space="0" w:color="auto"/>
        <w:right w:val="none" w:sz="0" w:space="0" w:color="auto"/>
      </w:divBdr>
    </w:div>
    <w:div w:id="1332030047">
      <w:bodyDiv w:val="1"/>
      <w:marLeft w:val="0"/>
      <w:marRight w:val="0"/>
      <w:marTop w:val="0"/>
      <w:marBottom w:val="0"/>
      <w:divBdr>
        <w:top w:val="none" w:sz="0" w:space="0" w:color="auto"/>
        <w:left w:val="none" w:sz="0" w:space="0" w:color="auto"/>
        <w:bottom w:val="none" w:sz="0" w:space="0" w:color="auto"/>
        <w:right w:val="none" w:sz="0" w:space="0" w:color="auto"/>
      </w:divBdr>
    </w:div>
    <w:div w:id="1695420249">
      <w:bodyDiv w:val="1"/>
      <w:marLeft w:val="0"/>
      <w:marRight w:val="0"/>
      <w:marTop w:val="0"/>
      <w:marBottom w:val="0"/>
      <w:divBdr>
        <w:top w:val="none" w:sz="0" w:space="0" w:color="auto"/>
        <w:left w:val="none" w:sz="0" w:space="0" w:color="auto"/>
        <w:bottom w:val="none" w:sz="0" w:space="0" w:color="auto"/>
        <w:right w:val="none" w:sz="0" w:space="0" w:color="auto"/>
      </w:divBdr>
    </w:div>
    <w:div w:id="18443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B2D1697538424BB372533BFF5E2691"/>
        <w:category>
          <w:name w:val="General"/>
          <w:gallery w:val="placeholder"/>
        </w:category>
        <w:types>
          <w:type w:val="bbPlcHdr"/>
        </w:types>
        <w:behaviors>
          <w:behavior w:val="content"/>
        </w:behaviors>
        <w:guid w:val="{2890E710-44D7-4300-92E5-D9C547F27A12}"/>
      </w:docPartPr>
      <w:docPartBody>
        <w:p w:rsidR="00747960" w:rsidRDefault="00747960" w:rsidP="00747960">
          <w:pPr>
            <w:pStyle w:val="EBB2D1697538424BB372533BFF5E2691"/>
          </w:pPr>
          <w:r w:rsidRPr="006716C0">
            <w:rPr>
              <w:rStyle w:val="PlaceholderText"/>
            </w:rPr>
            <w:t>Choose an item.</w:t>
          </w:r>
        </w:p>
      </w:docPartBody>
    </w:docPart>
    <w:docPart>
      <w:docPartPr>
        <w:name w:val="2AAC53D260E14073A2030831F0124804"/>
        <w:category>
          <w:name w:val="General"/>
          <w:gallery w:val="placeholder"/>
        </w:category>
        <w:types>
          <w:type w:val="bbPlcHdr"/>
        </w:types>
        <w:behaviors>
          <w:behavior w:val="content"/>
        </w:behaviors>
        <w:guid w:val="{48821C93-5FC3-4562-9221-74B43C6A6EEA}"/>
      </w:docPartPr>
      <w:docPartBody>
        <w:p w:rsidR="00747960" w:rsidRDefault="00747960" w:rsidP="00747960">
          <w:pPr>
            <w:pStyle w:val="2AAC53D260E14073A2030831F0124804"/>
          </w:pPr>
          <w:r w:rsidRPr="006716C0">
            <w:rPr>
              <w:rStyle w:val="PlaceholderText"/>
            </w:rPr>
            <w:t>Choose an item.</w:t>
          </w:r>
        </w:p>
      </w:docPartBody>
    </w:docPart>
    <w:docPart>
      <w:docPartPr>
        <w:name w:val="A1D6E926C22D425F913B9AECD4488496"/>
        <w:category>
          <w:name w:val="General"/>
          <w:gallery w:val="placeholder"/>
        </w:category>
        <w:types>
          <w:type w:val="bbPlcHdr"/>
        </w:types>
        <w:behaviors>
          <w:behavior w:val="content"/>
        </w:behaviors>
        <w:guid w:val="{0C630018-EE5E-48FE-A698-B70519EFD093}"/>
      </w:docPartPr>
      <w:docPartBody>
        <w:p w:rsidR="00747960" w:rsidRDefault="00747960" w:rsidP="00747960">
          <w:pPr>
            <w:pStyle w:val="A1D6E926C22D425F913B9AECD4488496"/>
          </w:pPr>
          <w:r w:rsidRPr="006716C0">
            <w:rPr>
              <w:rStyle w:val="PlaceholderText"/>
            </w:rPr>
            <w:t>Choose an item.</w:t>
          </w:r>
        </w:p>
      </w:docPartBody>
    </w:docPart>
    <w:docPart>
      <w:docPartPr>
        <w:name w:val="D6936D5C06604208835662D7AD500FC7"/>
        <w:category>
          <w:name w:val="General"/>
          <w:gallery w:val="placeholder"/>
        </w:category>
        <w:types>
          <w:type w:val="bbPlcHdr"/>
        </w:types>
        <w:behaviors>
          <w:behavior w:val="content"/>
        </w:behaviors>
        <w:guid w:val="{E069F6DF-4EC7-4C54-9FA2-3C84C137863E}"/>
      </w:docPartPr>
      <w:docPartBody>
        <w:p w:rsidR="00747960" w:rsidRDefault="00747960" w:rsidP="00747960">
          <w:pPr>
            <w:pStyle w:val="D6936D5C06604208835662D7AD500FC7"/>
          </w:pPr>
          <w:r w:rsidRPr="006716C0">
            <w:rPr>
              <w:rStyle w:val="PlaceholderText"/>
            </w:rPr>
            <w:t>Choose an item.</w:t>
          </w:r>
        </w:p>
      </w:docPartBody>
    </w:docPart>
    <w:docPart>
      <w:docPartPr>
        <w:name w:val="68038FF426854AD3849D2A70D9197380"/>
        <w:category>
          <w:name w:val="General"/>
          <w:gallery w:val="placeholder"/>
        </w:category>
        <w:types>
          <w:type w:val="bbPlcHdr"/>
        </w:types>
        <w:behaviors>
          <w:behavior w:val="content"/>
        </w:behaviors>
        <w:guid w:val="{08A792A8-E8E5-4935-BE5B-FDF0256478D0}"/>
      </w:docPartPr>
      <w:docPartBody>
        <w:p w:rsidR="00747960" w:rsidRDefault="00747960" w:rsidP="00747960">
          <w:pPr>
            <w:pStyle w:val="68038FF426854AD3849D2A70D9197380"/>
          </w:pPr>
          <w:r w:rsidRPr="006716C0">
            <w:rPr>
              <w:rStyle w:val="PlaceholderText"/>
            </w:rPr>
            <w:t>Choose an item.</w:t>
          </w:r>
        </w:p>
      </w:docPartBody>
    </w:docPart>
    <w:docPart>
      <w:docPartPr>
        <w:name w:val="B7D81F8F4CAC48DCA42AA40287E99C22"/>
        <w:category>
          <w:name w:val="General"/>
          <w:gallery w:val="placeholder"/>
        </w:category>
        <w:types>
          <w:type w:val="bbPlcHdr"/>
        </w:types>
        <w:behaviors>
          <w:behavior w:val="content"/>
        </w:behaviors>
        <w:guid w:val="{E9642169-E663-4732-8505-E697902903C8}"/>
      </w:docPartPr>
      <w:docPartBody>
        <w:p w:rsidR="00747960" w:rsidRDefault="00747960" w:rsidP="00747960">
          <w:pPr>
            <w:pStyle w:val="B7D81F8F4CAC48DCA42AA40287E99C22"/>
          </w:pPr>
          <w:r w:rsidRPr="006716C0">
            <w:rPr>
              <w:rStyle w:val="PlaceholderText"/>
            </w:rPr>
            <w:t>Choose an item.</w:t>
          </w:r>
        </w:p>
      </w:docPartBody>
    </w:docPart>
    <w:docPart>
      <w:docPartPr>
        <w:name w:val="9E4F4E6E5FDB40509ADE0EBC1D074081"/>
        <w:category>
          <w:name w:val="General"/>
          <w:gallery w:val="placeholder"/>
        </w:category>
        <w:types>
          <w:type w:val="bbPlcHdr"/>
        </w:types>
        <w:behaviors>
          <w:behavior w:val="content"/>
        </w:behaviors>
        <w:guid w:val="{A0E3C413-0937-4069-9039-090EBF1CFFC5}"/>
      </w:docPartPr>
      <w:docPartBody>
        <w:p w:rsidR="00747960" w:rsidRDefault="00747960" w:rsidP="00747960">
          <w:pPr>
            <w:pStyle w:val="9E4F4E6E5FDB40509ADE0EBC1D074081"/>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Microsoft Sans Serif"/>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073B8A"/>
    <w:rsid w:val="000A2664"/>
    <w:rsid w:val="000D2349"/>
    <w:rsid w:val="000F06D7"/>
    <w:rsid w:val="00102F26"/>
    <w:rsid w:val="001105D9"/>
    <w:rsid w:val="00117ED0"/>
    <w:rsid w:val="00130133"/>
    <w:rsid w:val="00137E48"/>
    <w:rsid w:val="00142079"/>
    <w:rsid w:val="00233219"/>
    <w:rsid w:val="002429B5"/>
    <w:rsid w:val="00256533"/>
    <w:rsid w:val="00296101"/>
    <w:rsid w:val="002C7600"/>
    <w:rsid w:val="003211B6"/>
    <w:rsid w:val="003211E3"/>
    <w:rsid w:val="003252E3"/>
    <w:rsid w:val="003359A1"/>
    <w:rsid w:val="0034305E"/>
    <w:rsid w:val="00343114"/>
    <w:rsid w:val="0034652C"/>
    <w:rsid w:val="00351EA9"/>
    <w:rsid w:val="003B06D4"/>
    <w:rsid w:val="003B6827"/>
    <w:rsid w:val="003E2BBD"/>
    <w:rsid w:val="003F196C"/>
    <w:rsid w:val="0041610F"/>
    <w:rsid w:val="00431501"/>
    <w:rsid w:val="00485B09"/>
    <w:rsid w:val="00486CA5"/>
    <w:rsid w:val="004D1B55"/>
    <w:rsid w:val="0054275E"/>
    <w:rsid w:val="0054285D"/>
    <w:rsid w:val="005F1BA6"/>
    <w:rsid w:val="00672A0F"/>
    <w:rsid w:val="00677E97"/>
    <w:rsid w:val="006A1D09"/>
    <w:rsid w:val="006A40F0"/>
    <w:rsid w:val="006B1A8E"/>
    <w:rsid w:val="006B68F7"/>
    <w:rsid w:val="006C02D4"/>
    <w:rsid w:val="007228AA"/>
    <w:rsid w:val="00747960"/>
    <w:rsid w:val="00765A08"/>
    <w:rsid w:val="007858D4"/>
    <w:rsid w:val="007B0ACA"/>
    <w:rsid w:val="007B78ED"/>
    <w:rsid w:val="007D0050"/>
    <w:rsid w:val="007D7012"/>
    <w:rsid w:val="007E1313"/>
    <w:rsid w:val="0082777F"/>
    <w:rsid w:val="008303FF"/>
    <w:rsid w:val="008330E5"/>
    <w:rsid w:val="00867887"/>
    <w:rsid w:val="008735A0"/>
    <w:rsid w:val="00874EC4"/>
    <w:rsid w:val="008802B1"/>
    <w:rsid w:val="008B63EC"/>
    <w:rsid w:val="008D4501"/>
    <w:rsid w:val="00911002"/>
    <w:rsid w:val="00913782"/>
    <w:rsid w:val="00972BD6"/>
    <w:rsid w:val="009941EF"/>
    <w:rsid w:val="009D230F"/>
    <w:rsid w:val="00A0056D"/>
    <w:rsid w:val="00A3367F"/>
    <w:rsid w:val="00A61020"/>
    <w:rsid w:val="00A85D76"/>
    <w:rsid w:val="00AA3CC8"/>
    <w:rsid w:val="00AE5254"/>
    <w:rsid w:val="00B014E5"/>
    <w:rsid w:val="00B10B0E"/>
    <w:rsid w:val="00B26C6D"/>
    <w:rsid w:val="00B44D21"/>
    <w:rsid w:val="00B45C46"/>
    <w:rsid w:val="00B9676A"/>
    <w:rsid w:val="00B96CB5"/>
    <w:rsid w:val="00BB1A10"/>
    <w:rsid w:val="00BE0148"/>
    <w:rsid w:val="00BF50B7"/>
    <w:rsid w:val="00C01D5E"/>
    <w:rsid w:val="00C42E03"/>
    <w:rsid w:val="00C67B55"/>
    <w:rsid w:val="00D00429"/>
    <w:rsid w:val="00D33473"/>
    <w:rsid w:val="00D52E06"/>
    <w:rsid w:val="00D62424"/>
    <w:rsid w:val="00D6795B"/>
    <w:rsid w:val="00D8642D"/>
    <w:rsid w:val="00DD3C3E"/>
    <w:rsid w:val="00DD76E6"/>
    <w:rsid w:val="00DE4C96"/>
    <w:rsid w:val="00E37847"/>
    <w:rsid w:val="00E55F7C"/>
    <w:rsid w:val="00E64CD6"/>
    <w:rsid w:val="00E65F4A"/>
    <w:rsid w:val="00E73B2A"/>
    <w:rsid w:val="00F079E9"/>
    <w:rsid w:val="00F15E69"/>
    <w:rsid w:val="00F45882"/>
    <w:rsid w:val="00F50165"/>
    <w:rsid w:val="00F54506"/>
    <w:rsid w:val="00FC3A80"/>
    <w:rsid w:val="00FD6E08"/>
    <w:rsid w:val="00FE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960"/>
    <w:rPr>
      <w:color w:val="808080"/>
    </w:rPr>
  </w:style>
  <w:style w:type="paragraph" w:customStyle="1" w:styleId="EBB2D1697538424BB372533BFF5E2691">
    <w:name w:val="EBB2D1697538424BB372533BFF5E2691"/>
    <w:rsid w:val="00747960"/>
    <w:pPr>
      <w:spacing w:line="278" w:lineRule="auto"/>
    </w:pPr>
    <w:rPr>
      <w:kern w:val="2"/>
      <w:sz w:val="24"/>
      <w:szCs w:val="24"/>
      <w14:ligatures w14:val="standardContextual"/>
    </w:rPr>
  </w:style>
  <w:style w:type="paragraph" w:customStyle="1" w:styleId="2AAC53D260E14073A2030831F0124804">
    <w:name w:val="2AAC53D260E14073A2030831F0124804"/>
    <w:rsid w:val="00747960"/>
    <w:pPr>
      <w:spacing w:line="278" w:lineRule="auto"/>
    </w:pPr>
    <w:rPr>
      <w:kern w:val="2"/>
      <w:sz w:val="24"/>
      <w:szCs w:val="24"/>
      <w14:ligatures w14:val="standardContextual"/>
    </w:rPr>
  </w:style>
  <w:style w:type="paragraph" w:customStyle="1" w:styleId="A1D6E926C22D425F913B9AECD4488496">
    <w:name w:val="A1D6E926C22D425F913B9AECD4488496"/>
    <w:rsid w:val="00747960"/>
    <w:pPr>
      <w:spacing w:line="278" w:lineRule="auto"/>
    </w:pPr>
    <w:rPr>
      <w:kern w:val="2"/>
      <w:sz w:val="24"/>
      <w:szCs w:val="24"/>
      <w14:ligatures w14:val="standardContextual"/>
    </w:rPr>
  </w:style>
  <w:style w:type="paragraph" w:customStyle="1" w:styleId="D6936D5C06604208835662D7AD500FC7">
    <w:name w:val="D6936D5C06604208835662D7AD500FC7"/>
    <w:rsid w:val="00747960"/>
    <w:pPr>
      <w:spacing w:line="278" w:lineRule="auto"/>
    </w:pPr>
    <w:rPr>
      <w:kern w:val="2"/>
      <w:sz w:val="24"/>
      <w:szCs w:val="24"/>
      <w14:ligatures w14:val="standardContextual"/>
    </w:rPr>
  </w:style>
  <w:style w:type="paragraph" w:customStyle="1" w:styleId="68038FF426854AD3849D2A70D9197380">
    <w:name w:val="68038FF426854AD3849D2A70D9197380"/>
    <w:rsid w:val="00747960"/>
    <w:pPr>
      <w:spacing w:line="278" w:lineRule="auto"/>
    </w:pPr>
    <w:rPr>
      <w:kern w:val="2"/>
      <w:sz w:val="24"/>
      <w:szCs w:val="24"/>
      <w14:ligatures w14:val="standardContextual"/>
    </w:rPr>
  </w:style>
  <w:style w:type="paragraph" w:customStyle="1" w:styleId="B7D81F8F4CAC48DCA42AA40287E99C22">
    <w:name w:val="B7D81F8F4CAC48DCA42AA40287E99C22"/>
    <w:rsid w:val="00747960"/>
    <w:pPr>
      <w:spacing w:line="278" w:lineRule="auto"/>
    </w:pPr>
    <w:rPr>
      <w:kern w:val="2"/>
      <w:sz w:val="24"/>
      <w:szCs w:val="24"/>
      <w14:ligatures w14:val="standardContextual"/>
    </w:rPr>
  </w:style>
  <w:style w:type="paragraph" w:customStyle="1" w:styleId="9E4F4E6E5FDB40509ADE0EBC1D074081">
    <w:name w:val="9E4F4E6E5FDB40509ADE0EBC1D074081"/>
    <w:rsid w:val="007479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Harden</dc:creator>
  <cp:keywords/>
  <dc:description/>
  <cp:lastModifiedBy>Trevis, Ashleigh</cp:lastModifiedBy>
  <cp:revision>3</cp:revision>
  <cp:lastPrinted>2024-07-12T01:33:00Z</cp:lastPrinted>
  <dcterms:created xsi:type="dcterms:W3CDTF">2024-10-01T04:55:00Z</dcterms:created>
  <dcterms:modified xsi:type="dcterms:W3CDTF">2024-10-01T04:57:00Z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2c3d3-d840-4172-a29f-9c7619623d98_Enabled">
    <vt:lpwstr>true</vt:lpwstr>
  </property>
  <property fmtid="{D5CDD505-2E9C-101B-9397-08002B2CF9AE}" pid="3" name="MSIP_Label_0652c3d3-d840-4172-a29f-9c7619623d98_SetDate">
    <vt:lpwstr>2024-08-22T05:28:43Z</vt:lpwstr>
  </property>
  <property fmtid="{D5CDD505-2E9C-101B-9397-08002B2CF9AE}" pid="4" name="MSIP_Label_0652c3d3-d840-4172-a29f-9c7619623d98_Method">
    <vt:lpwstr>Standard</vt:lpwstr>
  </property>
  <property fmtid="{D5CDD505-2E9C-101B-9397-08002B2CF9AE}" pid="5" name="MSIP_Label_0652c3d3-d840-4172-a29f-9c7619623d98_Name">
    <vt:lpwstr>OFFICIAL</vt:lpwstr>
  </property>
  <property fmtid="{D5CDD505-2E9C-101B-9397-08002B2CF9AE}" pid="6" name="MSIP_Label_0652c3d3-d840-4172-a29f-9c7619623d98_SiteId">
    <vt:lpwstr>9d72f613-8eae-45f5-bcab-46bf4632368f</vt:lpwstr>
  </property>
  <property fmtid="{D5CDD505-2E9C-101B-9397-08002B2CF9AE}" pid="7" name="MSIP_Label_0652c3d3-d840-4172-a29f-9c7619623d98_ActionId">
    <vt:lpwstr>09675281-255f-4998-9794-2ba3e73fcc2d</vt:lpwstr>
  </property>
  <property fmtid="{D5CDD505-2E9C-101B-9397-08002B2CF9AE}" pid="8" name="MSIP_Label_0652c3d3-d840-4172-a29f-9c7619623d98_ContentBits">
    <vt:lpwstr>1</vt:lpwstr>
  </property>
</Properties>
</file>